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4398C" w14:textId="77777777" w:rsidR="008170ED" w:rsidRPr="008170ED" w:rsidRDefault="008170ED" w:rsidP="008170ED">
      <w:pPr>
        <w:jc w:val="both"/>
        <w:rPr>
          <w:b/>
          <w:bCs/>
          <w:sz w:val="32"/>
          <w:szCs w:val="32"/>
        </w:rPr>
      </w:pPr>
      <w:r w:rsidRPr="008170ED">
        <w:rPr>
          <w:b/>
          <w:bCs/>
          <w:sz w:val="32"/>
          <w:szCs w:val="32"/>
        </w:rPr>
        <w:t>Tăng trợ cấp hằng tháng đối với cán bộ xã già yếu đã nghỉ việc</w:t>
      </w:r>
    </w:p>
    <w:p w14:paraId="2C562659" w14:textId="77777777" w:rsidR="008170ED" w:rsidRPr="008170ED" w:rsidRDefault="008170ED" w:rsidP="008170ED">
      <w:pPr>
        <w:jc w:val="both"/>
      </w:pPr>
      <w:r w:rsidRPr="008170ED">
        <w:t>Bộ Nội vụ đã ban hành Thông tư 08/2024/TT-BNV hướng dẫn thực hiện điều chỉnh mức trợ cấp hằng tháng đối với cán bộ xã, phường, thị trấn già yếu đã nghỉ việc</w:t>
      </w:r>
    </w:p>
    <w:p w14:paraId="0A56E428" w14:textId="77777777" w:rsidR="008170ED" w:rsidRPr="008170ED" w:rsidRDefault="008170ED" w:rsidP="008170ED">
      <w:pPr>
        <w:jc w:val="both"/>
        <w:rPr>
          <w:b/>
          <w:bCs/>
        </w:rPr>
      </w:pPr>
      <w:r w:rsidRPr="008170ED">
        <w:rPr>
          <w:b/>
          <w:bCs/>
        </w:rPr>
        <w:t>Đối tượng áp dụng</w:t>
      </w:r>
    </w:p>
    <w:p w14:paraId="427B85A2" w14:textId="77777777" w:rsidR="008170ED" w:rsidRPr="008170ED" w:rsidRDefault="008170ED" w:rsidP="008170ED">
      <w:pPr>
        <w:jc w:val="both"/>
      </w:pPr>
      <w:r w:rsidRPr="008170ED">
        <w:t>Thông tư nêu rõ, đối tượng áp dụng gồm: Cán bộ xã, phường, thị trấn già yếu đã nghỉ việc đang hưởng trợ cấp hằng tháng theo Quyết định số 130-CP ngày 20 tháng 6 năm 1975 của Hội đồng Chính phủ bổ sung chính sách, chế độ đãi ngộ đối với cán bộ xã và Quyết định số 111-HĐBT ngày 13 tháng 10 năm 1981 của Hội đồng Bộ trưởng về việc sửa đổi, bổ sung một số chính sách, chế độ đối với cán bộ xã, phường (sau đây gọi là cán bộ xã già yếu đã nghỉ việc) (*).</w:t>
      </w:r>
    </w:p>
    <w:p w14:paraId="17C26D0C" w14:textId="77777777" w:rsidR="008170ED" w:rsidRPr="008170ED" w:rsidRDefault="008170ED" w:rsidP="008170ED">
      <w:pPr>
        <w:jc w:val="both"/>
        <w:rPr>
          <w:b/>
          <w:bCs/>
        </w:rPr>
      </w:pPr>
      <w:r w:rsidRPr="008170ED">
        <w:rPr>
          <w:b/>
          <w:bCs/>
        </w:rPr>
        <w:t>Điều chỉnh mức trợ cấp hằng tháng</w:t>
      </w:r>
    </w:p>
    <w:p w14:paraId="18DE2CFE" w14:textId="77777777" w:rsidR="008170ED" w:rsidRPr="008170ED" w:rsidRDefault="008170ED" w:rsidP="008170ED">
      <w:pPr>
        <w:jc w:val="both"/>
      </w:pPr>
      <w:r w:rsidRPr="008170ED">
        <w:t>Từ ngày 01 tháng 7 năm 2024, thực hiện điều chỉnh mức trợ cấp hằng tháng đối với cán bộ xã già yếu đã nghỉ việc theo quy định tại Điều 2 Nghị định số 75/2024/NĐ-CP ngày 30 tháng 6 năm 2024 của Chính phủ điều chỉnh lương hưu, trợ cấp bảo hiểm xã hội và trợ cấp hằng tháng như sau:</w:t>
      </w:r>
    </w:p>
    <w:p w14:paraId="1E70D8A1" w14:textId="77777777" w:rsidR="008170ED" w:rsidRPr="008170ED" w:rsidRDefault="008170ED" w:rsidP="008170ED">
      <w:pPr>
        <w:jc w:val="both"/>
      </w:pPr>
      <w:r w:rsidRPr="008170ED">
        <w:t>1. Tăng thêm 15% mức trợ cấp hằng tháng trên mức trợ cấp được hưởng tại thời điểm tháng 6 năm 2024 đối với các đối tượng quy định tại (*) nêu trên.</w:t>
      </w:r>
    </w:p>
    <w:p w14:paraId="6A334F7C" w14:textId="77777777" w:rsidR="008170ED" w:rsidRPr="008170ED" w:rsidRDefault="008170ED" w:rsidP="008170ED">
      <w:pPr>
        <w:jc w:val="both"/>
      </w:pPr>
      <w:r w:rsidRPr="008170ED">
        <w:t>Mức trợ cấp hằng tháng được hưởng từ ngày 01 tháng 7 năm 2024 tính theo công thức sau:</w:t>
      </w:r>
    </w:p>
    <w:tbl>
      <w:tblPr>
        <w:tblW w:w="5000" w:type="pct"/>
        <w:tblCellMar>
          <w:left w:w="0" w:type="dxa"/>
          <w:right w:w="0" w:type="dxa"/>
        </w:tblCellMar>
        <w:tblLook w:val="04A0" w:firstRow="1" w:lastRow="0" w:firstColumn="1" w:lastColumn="0" w:noHBand="0" w:noVBand="1"/>
      </w:tblPr>
      <w:tblGrid>
        <w:gridCol w:w="4199"/>
        <w:gridCol w:w="270"/>
        <w:gridCol w:w="3473"/>
        <w:gridCol w:w="1114"/>
      </w:tblGrid>
      <w:tr w:rsidR="008170ED" w:rsidRPr="008170ED" w14:paraId="4F7C9EA0" w14:textId="77777777" w:rsidTr="008170ED">
        <w:tc>
          <w:tcPr>
            <w:tcW w:w="0" w:type="auto"/>
            <w:tcBorders>
              <w:top w:val="single" w:sz="6" w:space="0" w:color="333333"/>
              <w:left w:val="single" w:sz="6" w:space="0" w:color="333333"/>
              <w:bottom w:val="single" w:sz="6" w:space="0" w:color="333333"/>
              <w:right w:val="single" w:sz="6" w:space="0" w:color="333333"/>
            </w:tcBorders>
            <w:vAlign w:val="center"/>
            <w:hideMark/>
          </w:tcPr>
          <w:p w14:paraId="4D7D2E53" w14:textId="77777777" w:rsidR="008170ED" w:rsidRPr="008170ED" w:rsidRDefault="008170ED" w:rsidP="008170ED">
            <w:pPr>
              <w:jc w:val="both"/>
            </w:pPr>
            <w:r w:rsidRPr="008170ED">
              <w:t>Mức trợ cấp hằng tháng</w:t>
            </w:r>
          </w:p>
          <w:p w14:paraId="5666FDAB" w14:textId="77777777" w:rsidR="008170ED" w:rsidRPr="008170ED" w:rsidRDefault="008170ED" w:rsidP="008170ED">
            <w:pPr>
              <w:jc w:val="both"/>
            </w:pPr>
            <w:r w:rsidRPr="008170ED">
              <w:t>được hưởng từ ngày 01</w:t>
            </w:r>
          </w:p>
          <w:p w14:paraId="481E68F4" w14:textId="77777777" w:rsidR="008170ED" w:rsidRPr="008170ED" w:rsidRDefault="008170ED" w:rsidP="008170ED">
            <w:pPr>
              <w:jc w:val="both"/>
            </w:pPr>
            <w:r w:rsidRPr="008170ED">
              <w:t>tháng 7 năm 2024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1AD3EB1" w14:textId="77777777" w:rsidR="008170ED" w:rsidRPr="008170ED" w:rsidRDefault="008170ED" w:rsidP="008170ED">
            <w:pPr>
              <w:jc w:val="both"/>
            </w:pPr>
            <w:r w:rsidRPr="008170ED">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E4AF546" w14:textId="77777777" w:rsidR="008170ED" w:rsidRPr="008170ED" w:rsidRDefault="008170ED" w:rsidP="008170ED">
            <w:pPr>
              <w:jc w:val="both"/>
            </w:pPr>
            <w:r w:rsidRPr="008170ED">
              <w:t>Mức trợ cấp được</w:t>
            </w:r>
          </w:p>
          <w:p w14:paraId="1CB06AA1" w14:textId="77777777" w:rsidR="008170ED" w:rsidRPr="008170ED" w:rsidRDefault="008170ED" w:rsidP="008170ED">
            <w:pPr>
              <w:jc w:val="both"/>
            </w:pPr>
            <w:r w:rsidRPr="008170ED">
              <w:t>hưởng tại thời điểm</w:t>
            </w:r>
          </w:p>
          <w:p w14:paraId="36F7610E" w14:textId="77777777" w:rsidR="008170ED" w:rsidRPr="008170ED" w:rsidRDefault="008170ED" w:rsidP="008170ED">
            <w:pPr>
              <w:jc w:val="both"/>
            </w:pPr>
            <w:r w:rsidRPr="008170ED">
              <w:t>tháng 6 năm 2024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B532343" w14:textId="77777777" w:rsidR="008170ED" w:rsidRPr="008170ED" w:rsidRDefault="008170ED" w:rsidP="008170ED">
            <w:pPr>
              <w:jc w:val="both"/>
            </w:pPr>
            <w:r w:rsidRPr="008170ED">
              <w:t>x 1,15</w:t>
            </w:r>
          </w:p>
        </w:tc>
      </w:tr>
    </w:tbl>
    <w:p w14:paraId="7ADE3F6E" w14:textId="77777777" w:rsidR="008170ED" w:rsidRPr="008170ED" w:rsidRDefault="008170ED" w:rsidP="008170ED">
      <w:pPr>
        <w:jc w:val="both"/>
      </w:pPr>
      <w:r w:rsidRPr="008170ED">
        <w:t>Trong đó: Mức trợ cấp được hưởng tại thời điểm tháng 6 năm 2024 là mức trợ cấp quy định tại khoản 3 Điều 2 Thông tư số 11/2023/TT-BNV ngày 01 tháng 8 năm 2023 của Bộ trưởng Bộ Nội vụ hướng dẫn thực hiện điều chỉnh mức trợ cấp hằng tháng đối với cán bộ xã, phường, thị trấn già yếu đã nghỉ việc.</w:t>
      </w:r>
    </w:p>
    <w:p w14:paraId="3B3460F6" w14:textId="77777777" w:rsidR="008170ED" w:rsidRPr="008170ED" w:rsidRDefault="008170ED" w:rsidP="008170ED">
      <w:pPr>
        <w:jc w:val="both"/>
      </w:pPr>
      <w:r w:rsidRPr="008170ED">
        <w:t>2. Từ ngày 01 tháng 7 năm 2024, sau khi điều chỉnh mức trợ cấp hằng tháng đối với cán bộ xã già yếu đã nghỉ việc theo quy định tại khoản 1 nêu trên mà có mức trợ cấp được hưởng thấp hơn 3.500.000 đồng/tháng thì được điều chỉnh tăng thêm như sau:</w:t>
      </w:r>
    </w:p>
    <w:p w14:paraId="63789CE6" w14:textId="77777777" w:rsidR="008170ED" w:rsidRPr="008170ED" w:rsidRDefault="008170ED" w:rsidP="008170ED">
      <w:pPr>
        <w:jc w:val="both"/>
      </w:pPr>
      <w:r w:rsidRPr="008170ED">
        <w:t>Tăng thêm 300.000 đồng/người/tháng đối với những người có mức hưởng trợ cấp hằng tháng dưới 3.200.000 đồng/người/tháng.</w:t>
      </w:r>
    </w:p>
    <w:p w14:paraId="25281419" w14:textId="77777777" w:rsidR="008170ED" w:rsidRPr="008170ED" w:rsidRDefault="008170ED" w:rsidP="008170ED">
      <w:pPr>
        <w:jc w:val="both"/>
      </w:pPr>
      <w:r w:rsidRPr="008170ED">
        <w:lastRenderedPageBreak/>
        <w:t>Tăng lên bằng 3.500.000 đồng/người/tháng đối với những người có mức hưởng trợ cấp hằng tháng từ 3.200.000 đồng/người/tháng đến dưới 3.500.000 đồng/người/tháng.</w:t>
      </w:r>
    </w:p>
    <w:p w14:paraId="0D97D62E" w14:textId="77777777" w:rsidR="008170ED" w:rsidRPr="008170ED" w:rsidRDefault="008170ED" w:rsidP="008170ED">
      <w:pPr>
        <w:jc w:val="both"/>
      </w:pPr>
      <w:r w:rsidRPr="008170ED">
        <w:t>3. Căn cứ quy định tại khoản 1 và khoản 2 nêu trên, cán bộ xã già yếu đã nghỉ việc gồm: Cán bộ nguyên là Bí thư Đảng ủy, Chủ tịch Ủy ban nhân dân, Phó Bí thư, Phó Chủ tịch, Thường trực Đảng ủy, Ủy viên thư ký Ủy ban nhân dân, Thư ký Hội đồng nhân dân xã, Xã đội trưởng, Trưởng công an xã và các chức danh còn lại được hưởng mức trợ cấp hằng tháng là 3.500.000 đồng/tháng từ ngày 01 tháng 7 năm 2024.</w:t>
      </w:r>
    </w:p>
    <w:p w14:paraId="000BEEE3" w14:textId="77777777" w:rsidR="003C4540" w:rsidRDefault="003C4540" w:rsidP="008170ED">
      <w:pPr>
        <w:jc w:val="both"/>
      </w:pPr>
    </w:p>
    <w:sectPr w:rsidR="003C4540" w:rsidSect="00FF247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ED"/>
    <w:rsid w:val="003C4540"/>
    <w:rsid w:val="008170ED"/>
    <w:rsid w:val="009E5D3E"/>
    <w:rsid w:val="00E60051"/>
    <w:rsid w:val="00FF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DADD"/>
  <w15:chartTrackingRefBased/>
  <w15:docId w15:val="{48C1636D-9DF9-4751-9868-54E3DB47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0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70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0E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170E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170E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170E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70E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70E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70E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0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70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0E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170E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170E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170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70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70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70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7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0E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170E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170ED"/>
    <w:pPr>
      <w:spacing w:before="160"/>
      <w:jc w:val="center"/>
    </w:pPr>
    <w:rPr>
      <w:i/>
      <w:iCs/>
      <w:color w:val="404040" w:themeColor="text1" w:themeTint="BF"/>
    </w:rPr>
  </w:style>
  <w:style w:type="character" w:customStyle="1" w:styleId="QuoteChar">
    <w:name w:val="Quote Char"/>
    <w:basedOn w:val="DefaultParagraphFont"/>
    <w:link w:val="Quote"/>
    <w:uiPriority w:val="29"/>
    <w:rsid w:val="008170ED"/>
    <w:rPr>
      <w:i/>
      <w:iCs/>
      <w:color w:val="404040" w:themeColor="text1" w:themeTint="BF"/>
    </w:rPr>
  </w:style>
  <w:style w:type="paragraph" w:styleId="ListParagraph">
    <w:name w:val="List Paragraph"/>
    <w:basedOn w:val="Normal"/>
    <w:uiPriority w:val="34"/>
    <w:qFormat/>
    <w:rsid w:val="008170ED"/>
    <w:pPr>
      <w:ind w:left="720"/>
      <w:contextualSpacing/>
    </w:pPr>
  </w:style>
  <w:style w:type="character" w:styleId="IntenseEmphasis">
    <w:name w:val="Intense Emphasis"/>
    <w:basedOn w:val="DefaultParagraphFont"/>
    <w:uiPriority w:val="21"/>
    <w:qFormat/>
    <w:rsid w:val="008170ED"/>
    <w:rPr>
      <w:i/>
      <w:iCs/>
      <w:color w:val="0F4761" w:themeColor="accent1" w:themeShade="BF"/>
    </w:rPr>
  </w:style>
  <w:style w:type="paragraph" w:styleId="IntenseQuote">
    <w:name w:val="Intense Quote"/>
    <w:basedOn w:val="Normal"/>
    <w:next w:val="Normal"/>
    <w:link w:val="IntenseQuoteChar"/>
    <w:uiPriority w:val="30"/>
    <w:qFormat/>
    <w:rsid w:val="00817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0ED"/>
    <w:rPr>
      <w:i/>
      <w:iCs/>
      <w:color w:val="0F4761" w:themeColor="accent1" w:themeShade="BF"/>
    </w:rPr>
  </w:style>
  <w:style w:type="character" w:styleId="IntenseReference">
    <w:name w:val="Intense Reference"/>
    <w:basedOn w:val="DefaultParagraphFont"/>
    <w:uiPriority w:val="32"/>
    <w:qFormat/>
    <w:rsid w:val="008170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722021">
      <w:bodyDiv w:val="1"/>
      <w:marLeft w:val="0"/>
      <w:marRight w:val="0"/>
      <w:marTop w:val="0"/>
      <w:marBottom w:val="0"/>
      <w:divBdr>
        <w:top w:val="none" w:sz="0" w:space="0" w:color="auto"/>
        <w:left w:val="none" w:sz="0" w:space="0" w:color="auto"/>
        <w:bottom w:val="none" w:sz="0" w:space="0" w:color="auto"/>
        <w:right w:val="none" w:sz="0" w:space="0" w:color="auto"/>
      </w:divBdr>
      <w:divsChild>
        <w:div w:id="1786924995">
          <w:marLeft w:val="0"/>
          <w:marRight w:val="0"/>
          <w:marTop w:val="0"/>
          <w:marBottom w:val="225"/>
          <w:divBdr>
            <w:top w:val="none" w:sz="0" w:space="0" w:color="auto"/>
            <w:left w:val="none" w:sz="0" w:space="0" w:color="auto"/>
            <w:bottom w:val="none" w:sz="0" w:space="0" w:color="auto"/>
            <w:right w:val="none" w:sz="0" w:space="0" w:color="auto"/>
          </w:divBdr>
        </w:div>
      </w:divsChild>
    </w:div>
    <w:div w:id="436408988">
      <w:bodyDiv w:val="1"/>
      <w:marLeft w:val="0"/>
      <w:marRight w:val="0"/>
      <w:marTop w:val="0"/>
      <w:marBottom w:val="0"/>
      <w:divBdr>
        <w:top w:val="none" w:sz="0" w:space="0" w:color="auto"/>
        <w:left w:val="none" w:sz="0" w:space="0" w:color="auto"/>
        <w:bottom w:val="none" w:sz="0" w:space="0" w:color="auto"/>
        <w:right w:val="none" w:sz="0" w:space="0" w:color="auto"/>
      </w:divBdr>
      <w:divsChild>
        <w:div w:id="53554497">
          <w:marLeft w:val="0"/>
          <w:marRight w:val="0"/>
          <w:marTop w:val="0"/>
          <w:marBottom w:val="225"/>
          <w:divBdr>
            <w:top w:val="none" w:sz="0" w:space="0" w:color="auto"/>
            <w:left w:val="none" w:sz="0" w:space="0" w:color="auto"/>
            <w:bottom w:val="none" w:sz="0" w:space="0" w:color="auto"/>
            <w:right w:val="none" w:sz="0" w:space="0" w:color="auto"/>
          </w:divBdr>
        </w:div>
      </w:divsChild>
    </w:div>
    <w:div w:id="475146987">
      <w:bodyDiv w:val="1"/>
      <w:marLeft w:val="0"/>
      <w:marRight w:val="0"/>
      <w:marTop w:val="0"/>
      <w:marBottom w:val="0"/>
      <w:divBdr>
        <w:top w:val="none" w:sz="0" w:space="0" w:color="auto"/>
        <w:left w:val="none" w:sz="0" w:space="0" w:color="auto"/>
        <w:bottom w:val="none" w:sz="0" w:space="0" w:color="auto"/>
        <w:right w:val="none" w:sz="0" w:space="0" w:color="auto"/>
      </w:divBdr>
    </w:div>
    <w:div w:id="1080056486">
      <w:bodyDiv w:val="1"/>
      <w:marLeft w:val="0"/>
      <w:marRight w:val="0"/>
      <w:marTop w:val="0"/>
      <w:marBottom w:val="0"/>
      <w:divBdr>
        <w:top w:val="none" w:sz="0" w:space="0" w:color="auto"/>
        <w:left w:val="none" w:sz="0" w:space="0" w:color="auto"/>
        <w:bottom w:val="none" w:sz="0" w:space="0" w:color="auto"/>
        <w:right w:val="none" w:sz="0" w:space="0" w:color="auto"/>
      </w:divBdr>
    </w:div>
    <w:div w:id="1142114321">
      <w:bodyDiv w:val="1"/>
      <w:marLeft w:val="0"/>
      <w:marRight w:val="0"/>
      <w:marTop w:val="0"/>
      <w:marBottom w:val="0"/>
      <w:divBdr>
        <w:top w:val="none" w:sz="0" w:space="0" w:color="auto"/>
        <w:left w:val="none" w:sz="0" w:space="0" w:color="auto"/>
        <w:bottom w:val="none" w:sz="0" w:space="0" w:color="auto"/>
        <w:right w:val="none" w:sz="0" w:space="0" w:color="auto"/>
      </w:divBdr>
    </w:div>
    <w:div w:id="212298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1</cp:revision>
  <dcterms:created xsi:type="dcterms:W3CDTF">2024-07-16T08:52:00Z</dcterms:created>
  <dcterms:modified xsi:type="dcterms:W3CDTF">2024-07-16T08:53:00Z</dcterms:modified>
</cp:coreProperties>
</file>