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90BD" w14:textId="77777777" w:rsidR="00212392" w:rsidRPr="00212392" w:rsidRDefault="00212392" w:rsidP="00212392">
      <w:pPr>
        <w:rPr>
          <w:b/>
          <w:bCs/>
        </w:rPr>
      </w:pPr>
      <w:r w:rsidRPr="00212392">
        <w:rPr>
          <w:b/>
          <w:bCs/>
        </w:rPr>
        <w:t>Mức hưởng trợ cấp ốm đau được tính trên căn cứ nào? Thời hạn giải quyết hưởng trợ cấp ốm đau là bao nhiêu ngày?</w:t>
      </w:r>
    </w:p>
    <w:p w14:paraId="1BB1EAE6" w14:textId="0E3B2C64" w:rsidR="00212392" w:rsidRPr="00212392" w:rsidRDefault="00212392" w:rsidP="00212392">
      <w:r w:rsidRPr="00212392">
        <w:t>Nội dung chính</w:t>
      </w:r>
    </w:p>
    <w:p w14:paraId="138D3068" w14:textId="77777777" w:rsidR="00212392" w:rsidRPr="00212392" w:rsidRDefault="00000000" w:rsidP="00212392">
      <w:pPr>
        <w:numPr>
          <w:ilvl w:val="0"/>
          <w:numId w:val="1"/>
        </w:numPr>
      </w:pPr>
      <w:hyperlink r:id="rId5" w:anchor="muc-huong-tro-cap-om-dau-duoc-tinh-tren-can-cu-nao-0" w:history="1">
        <w:r w:rsidR="00212392" w:rsidRPr="00212392">
          <w:rPr>
            <w:rStyle w:val="Hyperlink"/>
            <w:b/>
            <w:bCs/>
          </w:rPr>
          <w:t>Mức hưởng trợ cấp ốm đau được tính trên căn cứ nào?</w:t>
        </w:r>
      </w:hyperlink>
    </w:p>
    <w:p w14:paraId="2A86B7C3" w14:textId="77777777" w:rsidR="00212392" w:rsidRPr="00212392" w:rsidRDefault="00000000" w:rsidP="00212392">
      <w:pPr>
        <w:numPr>
          <w:ilvl w:val="0"/>
          <w:numId w:val="1"/>
        </w:numPr>
      </w:pPr>
      <w:hyperlink r:id="rId6" w:anchor="ho-so-de-nghi-huong-tro-cap-om-dau-doi-voi-nguoi-lao-dong-dieu-tri-noi-tru-gom-nhung-giay-to-gi-1" w:history="1">
        <w:r w:rsidR="00212392" w:rsidRPr="00212392">
          <w:rPr>
            <w:rStyle w:val="Hyperlink"/>
            <w:b/>
            <w:bCs/>
          </w:rPr>
          <w:t>Hồ sơ đề nghị hưởng trợ cấp ốm đau đối với người lao động điều trị nội trú gồm những giấy tờ gì?</w:t>
        </w:r>
      </w:hyperlink>
    </w:p>
    <w:p w14:paraId="0D446D3D" w14:textId="77777777" w:rsidR="00212392" w:rsidRPr="00212392" w:rsidRDefault="00000000" w:rsidP="00212392">
      <w:pPr>
        <w:numPr>
          <w:ilvl w:val="0"/>
          <w:numId w:val="1"/>
        </w:numPr>
      </w:pPr>
      <w:hyperlink r:id="rId7" w:anchor="thoi-han-giai-quyet-huong-tro-cap-om-dau-la-bao-nhieu-ngay-2" w:history="1">
        <w:r w:rsidR="00212392" w:rsidRPr="00212392">
          <w:rPr>
            <w:rStyle w:val="Hyperlink"/>
            <w:b/>
            <w:bCs/>
          </w:rPr>
          <w:t>Thời hạn giải quyết hưởng trợ cấp ốm đau là bao nhiêu ngày?</w:t>
        </w:r>
      </w:hyperlink>
    </w:p>
    <w:p w14:paraId="151F75E2" w14:textId="77777777" w:rsidR="00212392" w:rsidRPr="00212392" w:rsidRDefault="00212392" w:rsidP="00212392">
      <w:r w:rsidRPr="00212392">
        <w:rPr>
          <w:b/>
          <w:bCs/>
        </w:rPr>
        <w:t>Mức hưởng trợ cấp ốm đau được tính trên căn cứ nào?</w:t>
      </w:r>
    </w:p>
    <w:p w14:paraId="72FA25D5" w14:textId="77777777" w:rsidR="00212392" w:rsidRPr="00212392" w:rsidRDefault="00212392" w:rsidP="00212392">
      <w:r w:rsidRPr="00212392">
        <w:t>Căn cứ theo khoản 1 Điều 45 </w:t>
      </w:r>
      <w:hyperlink r:id="rId8" w:tgtFrame="_blank" w:history="1">
        <w:r w:rsidRPr="00212392">
          <w:rPr>
            <w:rStyle w:val="Hyperlink"/>
          </w:rPr>
          <w:t>Luật Bảo hiểm xã hội 2024</w:t>
        </w:r>
      </w:hyperlink>
      <w:r w:rsidRPr="00212392">
        <w:t> quy định về trợ cấp ốm đau như sau:</w:t>
      </w:r>
    </w:p>
    <w:p w14:paraId="018A4834" w14:textId="77777777" w:rsidR="00212392" w:rsidRPr="00212392" w:rsidRDefault="00212392" w:rsidP="00212392">
      <w:pPr>
        <w:rPr>
          <w:i/>
          <w:iCs/>
        </w:rPr>
      </w:pPr>
      <w:r w:rsidRPr="00212392">
        <w:rPr>
          <w:b/>
          <w:bCs/>
          <w:i/>
          <w:iCs/>
        </w:rPr>
        <w:t>Điều 45. Trợ cấp ốm đau</w:t>
      </w:r>
    </w:p>
    <w:p w14:paraId="3100B50E" w14:textId="77777777" w:rsidR="00212392" w:rsidRPr="00212392" w:rsidRDefault="00212392" w:rsidP="00212392">
      <w:pPr>
        <w:rPr>
          <w:i/>
          <w:iCs/>
        </w:rPr>
      </w:pPr>
      <w:r w:rsidRPr="00212392">
        <w:rPr>
          <w:i/>
          <w:iCs/>
        </w:rPr>
        <w:t>1. Mức hưởng trợ cấp ốm đau được tính theo tháng và tính trên căn cứ sau đây:</w:t>
      </w:r>
    </w:p>
    <w:p w14:paraId="032E9C7A" w14:textId="77777777" w:rsidR="00212392" w:rsidRPr="00212392" w:rsidRDefault="00212392" w:rsidP="00212392">
      <w:pPr>
        <w:rPr>
          <w:i/>
          <w:iCs/>
        </w:rPr>
      </w:pPr>
      <w:r w:rsidRPr="00212392">
        <w:rPr>
          <w:i/>
          <w:iCs/>
        </w:rPr>
        <w:t>a) Tiền lương làm căn cứ đóng bảo hiểm xã hội của tháng gần nhất trước tháng nghỉ việc hưởng chế độ ốm đau;</w:t>
      </w:r>
    </w:p>
    <w:p w14:paraId="2E35B0C0" w14:textId="77777777" w:rsidR="00212392" w:rsidRPr="00212392" w:rsidRDefault="00212392" w:rsidP="00212392">
      <w:pPr>
        <w:rPr>
          <w:i/>
          <w:iCs/>
        </w:rPr>
      </w:pPr>
      <w:r w:rsidRPr="00212392">
        <w:rPr>
          <w:i/>
          <w:iCs/>
        </w:rPr>
        <w:t>b) Tiền lương làm căn cứ đóng bảo hiểm xã hội của tháng đầu tiên tham gia bảo hiểm xã hội hoặc tháng tham gia trở lại nếu phải nghỉ việc hưởng chế độ ốm đau ngay trong tháng đầu tiên tham gia hoặc tháng tham gia trở lại.</w:t>
      </w:r>
    </w:p>
    <w:p w14:paraId="5CCA8F54" w14:textId="77777777" w:rsidR="00212392" w:rsidRPr="00212392" w:rsidRDefault="00212392" w:rsidP="00212392">
      <w:pPr>
        <w:rPr>
          <w:i/>
          <w:iCs/>
        </w:rPr>
      </w:pPr>
      <w:r w:rsidRPr="00212392">
        <w:rPr>
          <w:i/>
          <w:iCs/>
        </w:rPr>
        <w:t>2. Mức hưởng trợ cấp ốm đau của người lao động quy định tại khoản 1 Điều 43 và Điều 44 của Luật này bằng 75% tiền lương làm căn cứ đóng bảo hiểm xã hội quy định tại khoản 1 Điều này.</w:t>
      </w:r>
    </w:p>
    <w:p w14:paraId="61E96CFB" w14:textId="77777777" w:rsidR="00212392" w:rsidRPr="00212392" w:rsidRDefault="00212392" w:rsidP="00212392">
      <w:pPr>
        <w:rPr>
          <w:i/>
          <w:iCs/>
        </w:rPr>
      </w:pPr>
      <w:r w:rsidRPr="00212392">
        <w:rPr>
          <w:i/>
          <w:iCs/>
        </w:rPr>
        <w:t>[...]</w:t>
      </w:r>
    </w:p>
    <w:p w14:paraId="5306CB13" w14:textId="77777777" w:rsidR="00212392" w:rsidRPr="00212392" w:rsidRDefault="00212392" w:rsidP="00212392">
      <w:r w:rsidRPr="00212392">
        <w:t>Như vậy, mức hưởng trợ cấp ốm đau được tính trên căn cứ sau:</w:t>
      </w:r>
    </w:p>
    <w:p w14:paraId="46A97556" w14:textId="77777777" w:rsidR="00212392" w:rsidRPr="00212392" w:rsidRDefault="00212392" w:rsidP="00212392">
      <w:r w:rsidRPr="00212392">
        <w:t>- Tiền lương làm căn cứ đóng bảo hiểm xã hội của tháng gần nhất trước tháng nghỉ việc hưởng chế độ ốm đau;</w:t>
      </w:r>
    </w:p>
    <w:p w14:paraId="6E07517C" w14:textId="77777777" w:rsidR="00212392" w:rsidRPr="00212392" w:rsidRDefault="00212392" w:rsidP="00212392">
      <w:r w:rsidRPr="00212392">
        <w:t>- Tiền lương làm căn cứ đóng bảo hiểm xã hội của tháng đầu tiên tham gia bảo hiểm xã hội hoặc tháng tham gia trở lại nếu phải nghỉ việc hưởng chế độ ốm đau ngay trong tháng đầu tiên tham gia hoặc tháng tham gia trở lại.</w:t>
      </w:r>
    </w:p>
    <w:p w14:paraId="2258DE66" w14:textId="77777777" w:rsidR="00212392" w:rsidRPr="00212392" w:rsidRDefault="00212392" w:rsidP="00212392">
      <w:r w:rsidRPr="00212392">
        <w:rPr>
          <w:b/>
          <w:bCs/>
        </w:rPr>
        <w:t>Hồ sơ đề nghị hưởng trợ cấp ốm đau đối với người lao động điều trị nội trú gồm những giấy tờ gì?</w:t>
      </w:r>
    </w:p>
    <w:p w14:paraId="4658BF4E" w14:textId="77777777" w:rsidR="00212392" w:rsidRPr="00212392" w:rsidRDefault="00212392" w:rsidP="00212392">
      <w:r w:rsidRPr="00212392">
        <w:t>Căn cứ theo khoản 1 Điều 47 </w:t>
      </w:r>
      <w:hyperlink r:id="rId9" w:tgtFrame="_blank" w:history="1">
        <w:r w:rsidRPr="00212392">
          <w:rPr>
            <w:rStyle w:val="Hyperlink"/>
          </w:rPr>
          <w:t>Luật Bảo hiểm xã hội 2024</w:t>
        </w:r>
      </w:hyperlink>
      <w:r w:rsidRPr="00212392">
        <w:t> quy định về hồ sơ đề nghị hưởng trợ cấp ốm đau như sau:</w:t>
      </w:r>
    </w:p>
    <w:p w14:paraId="55AFDB6A" w14:textId="77777777" w:rsidR="00212392" w:rsidRPr="00212392" w:rsidRDefault="00212392" w:rsidP="00212392">
      <w:pPr>
        <w:rPr>
          <w:i/>
          <w:iCs/>
        </w:rPr>
      </w:pPr>
      <w:r w:rsidRPr="00212392">
        <w:rPr>
          <w:b/>
          <w:bCs/>
          <w:i/>
          <w:iCs/>
        </w:rPr>
        <w:t>Điều 47. Hồ sơ đề nghị hưởng trợ cấp ốm đau</w:t>
      </w:r>
    </w:p>
    <w:p w14:paraId="568167AB" w14:textId="77777777" w:rsidR="00212392" w:rsidRPr="00212392" w:rsidRDefault="00212392" w:rsidP="00212392">
      <w:pPr>
        <w:rPr>
          <w:i/>
          <w:iCs/>
        </w:rPr>
      </w:pPr>
      <w:r w:rsidRPr="00212392">
        <w:rPr>
          <w:i/>
          <w:iCs/>
        </w:rPr>
        <w:lastRenderedPageBreak/>
        <w:t>1. Hồ sơ đề nghị hưởng trợ cấp ốm đau đối với người lao động hoặc con của người lao động điều trị nội trú là bản chính hoặc bản sao của một trong các giấy tờ sau đây:</w:t>
      </w:r>
    </w:p>
    <w:p w14:paraId="3D72F61F" w14:textId="77777777" w:rsidR="00212392" w:rsidRPr="00212392" w:rsidRDefault="00212392" w:rsidP="00212392">
      <w:pPr>
        <w:rPr>
          <w:i/>
          <w:iCs/>
        </w:rPr>
      </w:pPr>
      <w:r w:rsidRPr="00212392">
        <w:rPr>
          <w:i/>
          <w:iCs/>
        </w:rPr>
        <w:t>a) Giấy ra viện;</w:t>
      </w:r>
    </w:p>
    <w:p w14:paraId="7E58C56C" w14:textId="77777777" w:rsidR="00212392" w:rsidRPr="00212392" w:rsidRDefault="00212392" w:rsidP="00212392">
      <w:pPr>
        <w:rPr>
          <w:i/>
          <w:iCs/>
        </w:rPr>
      </w:pPr>
      <w:r w:rsidRPr="00212392">
        <w:rPr>
          <w:i/>
          <w:iCs/>
        </w:rPr>
        <w:t>b) Bản tóm tắt hồ sơ bệnh án;</w:t>
      </w:r>
    </w:p>
    <w:p w14:paraId="2E9AA8FC" w14:textId="77777777" w:rsidR="00212392" w:rsidRPr="00212392" w:rsidRDefault="00212392" w:rsidP="00212392">
      <w:pPr>
        <w:rPr>
          <w:i/>
          <w:iCs/>
        </w:rPr>
      </w:pPr>
      <w:r w:rsidRPr="00212392">
        <w:rPr>
          <w:i/>
          <w:iCs/>
        </w:rPr>
        <w:t>c) Giấy tờ khác chứng minh quá trình điều trị nội trú.</w:t>
      </w:r>
    </w:p>
    <w:p w14:paraId="7E51A2FC" w14:textId="77777777" w:rsidR="00212392" w:rsidRPr="00212392" w:rsidRDefault="00212392" w:rsidP="00212392">
      <w:pPr>
        <w:rPr>
          <w:i/>
          <w:iCs/>
        </w:rPr>
      </w:pPr>
      <w:r w:rsidRPr="00212392">
        <w:rPr>
          <w:i/>
          <w:iCs/>
        </w:rPr>
        <w:t>2. Hồ sơ đề nghị hưởng trợ cấp ốm đau đối với người lao động hoặc con của người lao động điều trị ngoại trú là một trong các giấy tờ sau đây:</w:t>
      </w:r>
    </w:p>
    <w:p w14:paraId="1CE69CC7" w14:textId="77777777" w:rsidR="00212392" w:rsidRPr="00212392" w:rsidRDefault="00212392" w:rsidP="00212392">
      <w:pPr>
        <w:rPr>
          <w:i/>
          <w:iCs/>
        </w:rPr>
      </w:pPr>
      <w:r w:rsidRPr="00212392">
        <w:rPr>
          <w:i/>
          <w:iCs/>
        </w:rPr>
        <w:t>a) Giấy chứng nhận nghỉ việc hưởng bảo hiểm xã hội;</w:t>
      </w:r>
    </w:p>
    <w:p w14:paraId="56194240" w14:textId="77777777" w:rsidR="00212392" w:rsidRPr="00212392" w:rsidRDefault="00212392" w:rsidP="00212392">
      <w:pPr>
        <w:rPr>
          <w:i/>
          <w:iCs/>
        </w:rPr>
      </w:pPr>
      <w:r w:rsidRPr="00212392">
        <w:rPr>
          <w:i/>
          <w:iCs/>
        </w:rPr>
        <w:t>b) Bản chính hoặc bản sao giấy ra viện có ghi chỉ định thời gian cần điều trị ngoại trú sau thời gian điều trị nội trú;</w:t>
      </w:r>
    </w:p>
    <w:p w14:paraId="220F87CA" w14:textId="77777777" w:rsidR="00212392" w:rsidRPr="00212392" w:rsidRDefault="00212392" w:rsidP="00212392">
      <w:pPr>
        <w:rPr>
          <w:i/>
          <w:iCs/>
        </w:rPr>
      </w:pPr>
      <w:r w:rsidRPr="00212392">
        <w:rPr>
          <w:i/>
          <w:iCs/>
        </w:rPr>
        <w:t>c) Bản chính hoặc bản sao bản tóm tắt hồ sơ bệnh án có ghi chỉ định thời gian cần điều trị ngoại trú sau thời gian điều trị nội trú.</w:t>
      </w:r>
    </w:p>
    <w:p w14:paraId="48D9117F" w14:textId="77777777" w:rsidR="00212392" w:rsidRPr="00212392" w:rsidRDefault="00212392" w:rsidP="00212392">
      <w:pPr>
        <w:rPr>
          <w:i/>
          <w:iCs/>
        </w:rPr>
      </w:pPr>
      <w:r w:rsidRPr="00212392">
        <w:rPr>
          <w:i/>
          <w:iCs/>
        </w:rPr>
        <w:t>[..]</w:t>
      </w:r>
    </w:p>
    <w:p w14:paraId="4A81090E" w14:textId="77777777" w:rsidR="00212392" w:rsidRPr="00212392" w:rsidRDefault="00212392" w:rsidP="00212392">
      <w:r w:rsidRPr="00212392">
        <w:t>Như vậy, hồ sơ đề nghị hưởng trợ cấp ốm đau đối với người lao động điều trị nội trú là bản chính hoặc bản sao của một trong các giấy tờ sau đây:</w:t>
      </w:r>
    </w:p>
    <w:p w14:paraId="534548B5" w14:textId="77777777" w:rsidR="00212392" w:rsidRPr="00212392" w:rsidRDefault="00212392" w:rsidP="00212392">
      <w:r w:rsidRPr="00212392">
        <w:t>- Giấy ra viện;</w:t>
      </w:r>
    </w:p>
    <w:p w14:paraId="240333CD" w14:textId="77777777" w:rsidR="00212392" w:rsidRPr="00212392" w:rsidRDefault="00212392" w:rsidP="00212392">
      <w:r w:rsidRPr="00212392">
        <w:t>- Bản tóm tắt hồ sơ bệnh án;</w:t>
      </w:r>
    </w:p>
    <w:p w14:paraId="29E71677" w14:textId="77777777" w:rsidR="00212392" w:rsidRPr="00212392" w:rsidRDefault="00212392" w:rsidP="00212392">
      <w:r w:rsidRPr="00212392">
        <w:t>- Giấy tờ khác chứng minh quá trình điều trị nội trú.</w:t>
      </w:r>
    </w:p>
    <w:p w14:paraId="2155A8A7" w14:textId="77777777" w:rsidR="00212392" w:rsidRPr="00212392" w:rsidRDefault="00212392" w:rsidP="00212392">
      <w:r w:rsidRPr="00212392">
        <w:rPr>
          <w:b/>
          <w:bCs/>
        </w:rPr>
        <w:t>Thời hạn giải quyết hưởng trợ cấp ốm đau là bao nhiêu ngày?</w:t>
      </w:r>
    </w:p>
    <w:p w14:paraId="6E33C4D7" w14:textId="77777777" w:rsidR="00212392" w:rsidRPr="00212392" w:rsidRDefault="00212392" w:rsidP="00212392">
      <w:r w:rsidRPr="00212392">
        <w:t>Căn cứ theo Điều 48 </w:t>
      </w:r>
      <w:hyperlink r:id="rId10" w:tgtFrame="_blank" w:history="1">
        <w:r w:rsidRPr="00212392">
          <w:rPr>
            <w:rStyle w:val="Hyperlink"/>
          </w:rPr>
          <w:t>Luật Bảo hiểm xã hội 2024</w:t>
        </w:r>
      </w:hyperlink>
      <w:r w:rsidRPr="00212392">
        <w:t> quy định về giải quyết hưởng trợ cấp ốm đau như sau:</w:t>
      </w:r>
    </w:p>
    <w:p w14:paraId="53135275" w14:textId="77777777" w:rsidR="00212392" w:rsidRPr="00212392" w:rsidRDefault="00212392" w:rsidP="00212392">
      <w:pPr>
        <w:rPr>
          <w:i/>
          <w:iCs/>
        </w:rPr>
      </w:pPr>
      <w:r w:rsidRPr="00212392">
        <w:rPr>
          <w:b/>
          <w:bCs/>
          <w:i/>
          <w:iCs/>
        </w:rPr>
        <w:t>Điều 48. Giải quyết hưởng trợ cấp ốm đau</w:t>
      </w:r>
    </w:p>
    <w:p w14:paraId="274F3124" w14:textId="77777777" w:rsidR="00212392" w:rsidRPr="00212392" w:rsidRDefault="00212392" w:rsidP="00212392">
      <w:pPr>
        <w:rPr>
          <w:i/>
          <w:iCs/>
        </w:rPr>
      </w:pPr>
      <w:r w:rsidRPr="00212392">
        <w:rPr>
          <w:i/>
          <w:iCs/>
        </w:rPr>
        <w:t>1. Người lao động có trách nhiệm nộp hồ sơ quy định tại Điều 47 của Luật này cho người sử dụng lao động. Thời hạn nộp hồ sơ chậm nhất là 45 ngày kể từ ngày trở lại làm việc.</w:t>
      </w:r>
    </w:p>
    <w:p w14:paraId="241CF55E" w14:textId="77777777" w:rsidR="00212392" w:rsidRPr="00212392" w:rsidRDefault="00212392" w:rsidP="00212392">
      <w:pPr>
        <w:rPr>
          <w:i/>
          <w:iCs/>
        </w:rPr>
      </w:pPr>
      <w:r w:rsidRPr="00212392">
        <w:rPr>
          <w:i/>
          <w:iCs/>
        </w:rPr>
        <w:t>2. Trong thời hạn 07 ngày làm việc kể từ ngày nhận đủ hồ sơ từ người lao động, người sử dụng lao động có trách nhiệm lập danh sách người lao động nghỉ việc hưởng chế độ ốm đau kèm theo hồ sơ nộp cho cơ quan bảo hiểm xã hội.</w:t>
      </w:r>
    </w:p>
    <w:p w14:paraId="05FDCEF9" w14:textId="77777777" w:rsidR="00212392" w:rsidRPr="00212392" w:rsidRDefault="00212392" w:rsidP="00212392">
      <w:pPr>
        <w:rPr>
          <w:i/>
          <w:iCs/>
        </w:rPr>
      </w:pPr>
      <w:r w:rsidRPr="00212392">
        <w:rPr>
          <w:i/>
          <w:iCs/>
        </w:rPr>
        <w:t>3. Trong thời hạn 07 ngày làm việc kể từ ngày nhận đủ hồ sơ theo quy định từ người sử dụng lao động, cơ quan bảo hiểm xã hội có trách nhiệm giải quyết; trường hợp không giải quyết thì phải trả lời bằng văn bản và nêu rõ lý do.</w:t>
      </w:r>
    </w:p>
    <w:p w14:paraId="74F9E64B" w14:textId="77777777" w:rsidR="00212392" w:rsidRPr="00212392" w:rsidRDefault="00212392" w:rsidP="00212392">
      <w:pPr>
        <w:rPr>
          <w:i/>
          <w:iCs/>
        </w:rPr>
      </w:pPr>
    </w:p>
    <w:p w14:paraId="3204C229" w14:textId="77777777" w:rsidR="00212392" w:rsidRPr="00212392" w:rsidRDefault="00212392" w:rsidP="00212392">
      <w:r w:rsidRPr="00212392">
        <w:lastRenderedPageBreak/>
        <w:t>Như vậy, cơ quan bảo hiểm xã hội có trách nhiệm giải quyết hưởng trợ cấp ốm đau, thời hạn giải quyết hưởng trợ cấp ốm đau là 07 ngày làm việc kể từ ngày nhận đủ hồ sơ theo quy định từ người sử dụng lao động.</w:t>
      </w:r>
    </w:p>
    <w:p w14:paraId="7B995C8F" w14:textId="77777777" w:rsidR="00212392" w:rsidRPr="00212392" w:rsidRDefault="00212392" w:rsidP="00212392">
      <w:r w:rsidRPr="00212392">
        <w:t>Trường hợp không giải quyết thì phải trả lời bằng văn bản và nêu rõ lý do.</w:t>
      </w:r>
    </w:p>
    <w:p w14:paraId="4580C698" w14:textId="77777777" w:rsidR="00212392" w:rsidRDefault="00212392" w:rsidP="00212392">
      <w:pPr>
        <w:rPr>
          <w:i/>
          <w:iCs/>
        </w:rPr>
      </w:pPr>
      <w:r w:rsidRPr="00212392">
        <w:rPr>
          <w:b/>
          <w:bCs/>
          <w:i/>
          <w:iCs/>
        </w:rPr>
        <w:t>Lưu ý:</w:t>
      </w:r>
      <w:r w:rsidRPr="00212392">
        <w:rPr>
          <w:i/>
          <w:iCs/>
        </w:rPr>
        <w:t> </w:t>
      </w:r>
      <w:hyperlink r:id="rId11" w:tgtFrame="_blank" w:history="1">
        <w:r w:rsidRPr="00212392">
          <w:rPr>
            <w:rStyle w:val="Hyperlink"/>
            <w:i/>
            <w:iCs/>
          </w:rPr>
          <w:t>Luật Bảo hiểm xã hội 2024</w:t>
        </w:r>
      </w:hyperlink>
      <w:r w:rsidRPr="00212392">
        <w:rPr>
          <w:i/>
          <w:iCs/>
        </w:rPr>
        <w:t> có hiệu lực kể từ ngày 01/7/2025.</w:t>
      </w:r>
    </w:p>
    <w:p w14:paraId="76C71A5F" w14:textId="243F80D2" w:rsidR="00295F2A" w:rsidRPr="00212392" w:rsidRDefault="00295F2A" w:rsidP="00212392">
      <w:r>
        <w:rPr>
          <w:i/>
          <w:iCs/>
        </w:rPr>
        <w:t>Nguồn: Thư viện pháp luật.</w:t>
      </w:r>
    </w:p>
    <w:p w14:paraId="684432C8" w14:textId="77777777" w:rsidR="003C4540" w:rsidRDefault="003C4540"/>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5EB0"/>
    <w:multiLevelType w:val="multilevel"/>
    <w:tmpl w:val="A0B0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95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92"/>
    <w:rsid w:val="00212392"/>
    <w:rsid w:val="00295F2A"/>
    <w:rsid w:val="003C4540"/>
    <w:rsid w:val="00581BF0"/>
    <w:rsid w:val="009E5D3E"/>
    <w:rsid w:val="00C244BC"/>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E7F8"/>
  <w15:chartTrackingRefBased/>
  <w15:docId w15:val="{B5184322-534B-4236-8004-C9D94F77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39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123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23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23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23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23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23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39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123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23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23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23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23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23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2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39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1239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12392"/>
    <w:pPr>
      <w:spacing w:before="160"/>
      <w:jc w:val="center"/>
    </w:pPr>
    <w:rPr>
      <w:i/>
      <w:iCs/>
      <w:color w:val="404040" w:themeColor="text1" w:themeTint="BF"/>
    </w:rPr>
  </w:style>
  <w:style w:type="character" w:customStyle="1" w:styleId="QuoteChar">
    <w:name w:val="Quote Char"/>
    <w:basedOn w:val="DefaultParagraphFont"/>
    <w:link w:val="Quote"/>
    <w:uiPriority w:val="29"/>
    <w:rsid w:val="00212392"/>
    <w:rPr>
      <w:i/>
      <w:iCs/>
      <w:color w:val="404040" w:themeColor="text1" w:themeTint="BF"/>
    </w:rPr>
  </w:style>
  <w:style w:type="paragraph" w:styleId="ListParagraph">
    <w:name w:val="List Paragraph"/>
    <w:basedOn w:val="Normal"/>
    <w:uiPriority w:val="34"/>
    <w:qFormat/>
    <w:rsid w:val="00212392"/>
    <w:pPr>
      <w:ind w:left="720"/>
      <w:contextualSpacing/>
    </w:pPr>
  </w:style>
  <w:style w:type="character" w:styleId="IntenseEmphasis">
    <w:name w:val="Intense Emphasis"/>
    <w:basedOn w:val="DefaultParagraphFont"/>
    <w:uiPriority w:val="21"/>
    <w:qFormat/>
    <w:rsid w:val="00212392"/>
    <w:rPr>
      <w:i/>
      <w:iCs/>
      <w:color w:val="0F4761" w:themeColor="accent1" w:themeShade="BF"/>
    </w:rPr>
  </w:style>
  <w:style w:type="paragraph" w:styleId="IntenseQuote">
    <w:name w:val="Intense Quote"/>
    <w:basedOn w:val="Normal"/>
    <w:next w:val="Normal"/>
    <w:link w:val="IntenseQuoteChar"/>
    <w:uiPriority w:val="30"/>
    <w:qFormat/>
    <w:rsid w:val="00212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392"/>
    <w:rPr>
      <w:i/>
      <w:iCs/>
      <w:color w:val="0F4761" w:themeColor="accent1" w:themeShade="BF"/>
    </w:rPr>
  </w:style>
  <w:style w:type="character" w:styleId="IntenseReference">
    <w:name w:val="Intense Reference"/>
    <w:basedOn w:val="DefaultParagraphFont"/>
    <w:uiPriority w:val="32"/>
    <w:qFormat/>
    <w:rsid w:val="00212392"/>
    <w:rPr>
      <w:b/>
      <w:bCs/>
      <w:smallCaps/>
      <w:color w:val="0F4761" w:themeColor="accent1" w:themeShade="BF"/>
      <w:spacing w:val="5"/>
    </w:rPr>
  </w:style>
  <w:style w:type="character" w:styleId="Hyperlink">
    <w:name w:val="Hyperlink"/>
    <w:basedOn w:val="DefaultParagraphFont"/>
    <w:uiPriority w:val="99"/>
    <w:unhideWhenUsed/>
    <w:rsid w:val="00212392"/>
    <w:rPr>
      <w:color w:val="467886" w:themeColor="hyperlink"/>
      <w:u w:val="single"/>
    </w:rPr>
  </w:style>
  <w:style w:type="character" w:styleId="UnresolvedMention">
    <w:name w:val="Unresolved Mention"/>
    <w:basedOn w:val="DefaultParagraphFont"/>
    <w:uiPriority w:val="99"/>
    <w:semiHidden/>
    <w:unhideWhenUsed/>
    <w:rsid w:val="0021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37342">
      <w:bodyDiv w:val="1"/>
      <w:marLeft w:val="0"/>
      <w:marRight w:val="0"/>
      <w:marTop w:val="0"/>
      <w:marBottom w:val="0"/>
      <w:divBdr>
        <w:top w:val="none" w:sz="0" w:space="0" w:color="auto"/>
        <w:left w:val="none" w:sz="0" w:space="0" w:color="auto"/>
        <w:bottom w:val="none" w:sz="0" w:space="0" w:color="auto"/>
        <w:right w:val="none" w:sz="0" w:space="0" w:color="auto"/>
      </w:divBdr>
      <w:divsChild>
        <w:div w:id="681930011">
          <w:marLeft w:val="0"/>
          <w:marRight w:val="0"/>
          <w:marTop w:val="0"/>
          <w:marBottom w:val="225"/>
          <w:divBdr>
            <w:top w:val="none" w:sz="0" w:space="0" w:color="auto"/>
            <w:left w:val="none" w:sz="0" w:space="0" w:color="auto"/>
            <w:bottom w:val="none" w:sz="0" w:space="0" w:color="auto"/>
            <w:right w:val="none" w:sz="0" w:space="0" w:color="auto"/>
          </w:divBdr>
          <w:divsChild>
            <w:div w:id="916018526">
              <w:marLeft w:val="0"/>
              <w:marRight w:val="0"/>
              <w:marTop w:val="0"/>
              <w:marBottom w:val="0"/>
              <w:divBdr>
                <w:top w:val="none" w:sz="0" w:space="0" w:color="auto"/>
                <w:left w:val="none" w:sz="0" w:space="0" w:color="auto"/>
                <w:bottom w:val="none" w:sz="0" w:space="0" w:color="auto"/>
                <w:right w:val="none" w:sz="0" w:space="0" w:color="auto"/>
              </w:divBdr>
              <w:divsChild>
                <w:div w:id="1876960379">
                  <w:marLeft w:val="0"/>
                  <w:marRight w:val="0"/>
                  <w:marTop w:val="0"/>
                  <w:marBottom w:val="0"/>
                  <w:divBdr>
                    <w:top w:val="none" w:sz="0" w:space="0" w:color="auto"/>
                    <w:left w:val="none" w:sz="0" w:space="0" w:color="auto"/>
                    <w:bottom w:val="none" w:sz="0" w:space="0" w:color="auto"/>
                    <w:right w:val="none" w:sz="0" w:space="0" w:color="auto"/>
                  </w:divBdr>
                  <w:divsChild>
                    <w:div w:id="909463580">
                      <w:marLeft w:val="0"/>
                      <w:marRight w:val="0"/>
                      <w:marTop w:val="0"/>
                      <w:marBottom w:val="0"/>
                      <w:divBdr>
                        <w:top w:val="none" w:sz="0" w:space="0" w:color="auto"/>
                        <w:left w:val="none" w:sz="0" w:space="0" w:color="auto"/>
                        <w:bottom w:val="none" w:sz="0" w:space="0" w:color="auto"/>
                        <w:right w:val="none" w:sz="0" w:space="0" w:color="auto"/>
                      </w:divBdr>
                    </w:div>
                  </w:divsChild>
                </w:div>
                <w:div w:id="1964845894">
                  <w:marLeft w:val="0"/>
                  <w:marRight w:val="0"/>
                  <w:marTop w:val="0"/>
                  <w:marBottom w:val="0"/>
                  <w:divBdr>
                    <w:top w:val="none" w:sz="0" w:space="0" w:color="auto"/>
                    <w:left w:val="none" w:sz="0" w:space="0" w:color="auto"/>
                    <w:bottom w:val="none" w:sz="0" w:space="0" w:color="auto"/>
                    <w:right w:val="none" w:sz="0" w:space="0" w:color="auto"/>
                  </w:divBdr>
                  <w:divsChild>
                    <w:div w:id="1482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46950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45968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977393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59419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39920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23025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0814345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873743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056355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485223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77909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2475887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09977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370916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395402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17330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136106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4087341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150584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9321845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596860214">
      <w:bodyDiv w:val="1"/>
      <w:marLeft w:val="0"/>
      <w:marRight w:val="0"/>
      <w:marTop w:val="0"/>
      <w:marBottom w:val="0"/>
      <w:divBdr>
        <w:top w:val="none" w:sz="0" w:space="0" w:color="auto"/>
        <w:left w:val="none" w:sz="0" w:space="0" w:color="auto"/>
        <w:bottom w:val="none" w:sz="0" w:space="0" w:color="auto"/>
        <w:right w:val="none" w:sz="0" w:space="0" w:color="auto"/>
      </w:divBdr>
      <w:divsChild>
        <w:div w:id="1752850250">
          <w:marLeft w:val="0"/>
          <w:marRight w:val="0"/>
          <w:marTop w:val="0"/>
          <w:marBottom w:val="225"/>
          <w:divBdr>
            <w:top w:val="none" w:sz="0" w:space="0" w:color="auto"/>
            <w:left w:val="none" w:sz="0" w:space="0" w:color="auto"/>
            <w:bottom w:val="none" w:sz="0" w:space="0" w:color="auto"/>
            <w:right w:val="none" w:sz="0" w:space="0" w:color="auto"/>
          </w:divBdr>
          <w:divsChild>
            <w:div w:id="633558228">
              <w:marLeft w:val="0"/>
              <w:marRight w:val="0"/>
              <w:marTop w:val="0"/>
              <w:marBottom w:val="0"/>
              <w:divBdr>
                <w:top w:val="none" w:sz="0" w:space="0" w:color="auto"/>
                <w:left w:val="none" w:sz="0" w:space="0" w:color="auto"/>
                <w:bottom w:val="none" w:sz="0" w:space="0" w:color="auto"/>
                <w:right w:val="none" w:sz="0" w:space="0" w:color="auto"/>
              </w:divBdr>
              <w:divsChild>
                <w:div w:id="1559701474">
                  <w:marLeft w:val="0"/>
                  <w:marRight w:val="0"/>
                  <w:marTop w:val="0"/>
                  <w:marBottom w:val="0"/>
                  <w:divBdr>
                    <w:top w:val="none" w:sz="0" w:space="0" w:color="auto"/>
                    <w:left w:val="none" w:sz="0" w:space="0" w:color="auto"/>
                    <w:bottom w:val="none" w:sz="0" w:space="0" w:color="auto"/>
                    <w:right w:val="none" w:sz="0" w:space="0" w:color="auto"/>
                  </w:divBdr>
                  <w:divsChild>
                    <w:div w:id="1981882713">
                      <w:marLeft w:val="0"/>
                      <w:marRight w:val="0"/>
                      <w:marTop w:val="0"/>
                      <w:marBottom w:val="0"/>
                      <w:divBdr>
                        <w:top w:val="none" w:sz="0" w:space="0" w:color="auto"/>
                        <w:left w:val="none" w:sz="0" w:space="0" w:color="auto"/>
                        <w:bottom w:val="none" w:sz="0" w:space="0" w:color="auto"/>
                        <w:right w:val="none" w:sz="0" w:space="0" w:color="auto"/>
                      </w:divBdr>
                    </w:div>
                  </w:divsChild>
                </w:div>
                <w:div w:id="981544754">
                  <w:marLeft w:val="0"/>
                  <w:marRight w:val="0"/>
                  <w:marTop w:val="0"/>
                  <w:marBottom w:val="0"/>
                  <w:divBdr>
                    <w:top w:val="none" w:sz="0" w:space="0" w:color="auto"/>
                    <w:left w:val="none" w:sz="0" w:space="0" w:color="auto"/>
                    <w:bottom w:val="none" w:sz="0" w:space="0" w:color="auto"/>
                    <w:right w:val="none" w:sz="0" w:space="0" w:color="auto"/>
                  </w:divBdr>
                  <w:divsChild>
                    <w:div w:id="1782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38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52872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02620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740177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229817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010146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515127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31327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3480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970402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370997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664934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18179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385062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761975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071762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444554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4392398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09222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970475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806601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c=RVM01Ua3Tl&amp;mode=09dsbGRWODBOUTW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hoi-dap-phap-luat/83A3074-hd-muc-huong-tro-cap-om-dau-duoc-tinh-tren-can-cu-nao-thoi-han-giai-quyet-huong-tro-cap-om-dau-la-ba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hoi-dap-phap-luat/83A3074-hd-muc-huong-tro-cap-om-dau-duoc-tinh-tren-can-cu-nao-thoi-han-giai-quyet-huong-tro-cap-om-dau-la-bao-.html" TargetMode="External"/><Relationship Id="rId11" Type="http://schemas.openxmlformats.org/officeDocument/2006/relationships/hyperlink" Target="https://thuvienphapluat.vn/documents/law.aspx?id=c=RVM01Ua3Tl&amp;mode=" TargetMode="External"/><Relationship Id="rId5" Type="http://schemas.openxmlformats.org/officeDocument/2006/relationships/hyperlink" Target="https://thuvienphapluat.vn/hoi-dap-phap-luat/83A3074-hd-muc-huong-tro-cap-om-dau-duoc-tinh-tren-can-cu-nao-thoi-han-giai-quyet-huong-tro-cap-om-dau-la-bao-.html" TargetMode="External"/><Relationship Id="rId10" Type="http://schemas.openxmlformats.org/officeDocument/2006/relationships/hyperlink" Target="https://thuvienphapluat.vn/documents/law.aspx?id=c=RVM01Ua3Tl&amp;mode=09dsbGRWODBPQTWk" TargetMode="External"/><Relationship Id="rId4" Type="http://schemas.openxmlformats.org/officeDocument/2006/relationships/webSettings" Target="webSettings.xml"/><Relationship Id="rId9" Type="http://schemas.openxmlformats.org/officeDocument/2006/relationships/hyperlink" Target="https://thuvienphapluat.vn/documents/law.aspx?id=c=RVM01Ua3Tl&amp;mode=09dsbGRWODBOdz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2</cp:revision>
  <dcterms:created xsi:type="dcterms:W3CDTF">2024-08-08T03:50:00Z</dcterms:created>
  <dcterms:modified xsi:type="dcterms:W3CDTF">2024-08-08T04:03:00Z</dcterms:modified>
</cp:coreProperties>
</file>