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9AA44" w14:textId="77777777" w:rsidR="004E5695" w:rsidRPr="004E5695" w:rsidRDefault="004E5695" w:rsidP="004E5695">
      <w:r w:rsidRPr="004E5695">
        <w:rPr>
          <w:b/>
          <w:bCs/>
        </w:rPr>
        <w:t>Tổ chức tha người được đặc xá vào ngày 01 tháng 10 năm 2024? Đối tượng nào được áp dụng việc đặc xá?</w:t>
      </w:r>
    </w:p>
    <w:p w14:paraId="427FB077" w14:textId="77777777" w:rsidR="004E5695" w:rsidRPr="004E5695" w:rsidRDefault="004E5695" w:rsidP="004E5695">
      <w:pPr>
        <w:numPr>
          <w:ilvl w:val="0"/>
          <w:numId w:val="1"/>
        </w:numPr>
      </w:pPr>
      <w:hyperlink r:id="rId5" w:anchor="to-chuc-tha-nguoi-duoc-dac-xa-vao-ngay-01-thang-10-nam-2024-0" w:history="1">
        <w:r w:rsidRPr="004E5695">
          <w:rPr>
            <w:rStyle w:val="Hyperlink"/>
            <w:b/>
            <w:bCs/>
          </w:rPr>
          <w:t>Tổ chức tha người được đặc xá vào ngày 01 tháng 10 năm 2024?</w:t>
        </w:r>
      </w:hyperlink>
    </w:p>
    <w:p w14:paraId="37A1B027" w14:textId="77777777" w:rsidR="004E5695" w:rsidRPr="004E5695" w:rsidRDefault="004E5695" w:rsidP="004E5695">
      <w:pPr>
        <w:numPr>
          <w:ilvl w:val="0"/>
          <w:numId w:val="1"/>
        </w:numPr>
      </w:pPr>
      <w:hyperlink r:id="rId6" w:anchor="doi-tuong-nao-duoc-ap-dung-viec-dac-xa-1" w:history="1">
        <w:r w:rsidRPr="004E5695">
          <w:rPr>
            <w:rStyle w:val="Hyperlink"/>
            <w:b/>
            <w:bCs/>
          </w:rPr>
          <w:t>Đối tượng nào được áp dụng việc đặc xá?</w:t>
        </w:r>
      </w:hyperlink>
    </w:p>
    <w:p w14:paraId="50EFA9B9" w14:textId="77777777" w:rsidR="004E5695" w:rsidRPr="004E5695" w:rsidRDefault="004E5695" w:rsidP="004E5695">
      <w:pPr>
        <w:numPr>
          <w:ilvl w:val="0"/>
          <w:numId w:val="1"/>
        </w:numPr>
      </w:pPr>
      <w:hyperlink r:id="rId7" w:anchor="ho-so-de-nghi-dac-xa-nam-2024-bao-gom-nhung-loai-giay-to-gi-2" w:history="1">
        <w:r w:rsidRPr="004E5695">
          <w:rPr>
            <w:rStyle w:val="Hyperlink"/>
            <w:b/>
            <w:bCs/>
          </w:rPr>
          <w:t>Hồ sơ đề nghị đặc xá năm 2024 bao gồm những loại giấy tờ gì?</w:t>
        </w:r>
      </w:hyperlink>
    </w:p>
    <w:p w14:paraId="154F0B15" w14:textId="77777777" w:rsidR="004E5695" w:rsidRPr="004E5695" w:rsidRDefault="004E5695" w:rsidP="004E5695">
      <w:r w:rsidRPr="004E5695">
        <w:rPr>
          <w:b/>
          <w:bCs/>
        </w:rPr>
        <w:t>Tổ chức tha người được đặc xá vào ngày 01 tháng 10 năm 2024?</w:t>
      </w:r>
    </w:p>
    <w:p w14:paraId="1468D52F" w14:textId="77777777" w:rsidR="004E5695" w:rsidRPr="004E5695" w:rsidRDefault="004E5695" w:rsidP="004E5695">
      <w:r w:rsidRPr="004E5695">
        <w:t>Mới đây, Hội đồng Tư vấn Đặc xá đã ban hành </w:t>
      </w:r>
      <w:hyperlink r:id="rId8" w:tgtFrame="_blank" w:history="1">
        <w:r w:rsidRPr="004E5695">
          <w:rPr>
            <w:rStyle w:val="Hyperlink"/>
          </w:rPr>
          <w:t>Hướng dẫn 88/HD-HĐTVĐX năm 2024</w:t>
        </w:r>
      </w:hyperlink>
      <w:r w:rsidRPr="004E5695">
        <w:t> thực hiện </w:t>
      </w:r>
      <w:hyperlink r:id="rId9" w:tgtFrame="_blank" w:history="1">
        <w:r w:rsidRPr="004E5695">
          <w:rPr>
            <w:rStyle w:val="Hyperlink"/>
          </w:rPr>
          <w:t>Quyết định 758/2024/QĐ-CTN</w:t>
        </w:r>
      </w:hyperlink>
      <w:r w:rsidRPr="004E5695">
        <w:t> về đặc xá năm 2024.</w:t>
      </w:r>
    </w:p>
    <w:p w14:paraId="14C73A87" w14:textId="77777777" w:rsidR="004E5695" w:rsidRPr="004E5695" w:rsidRDefault="004E5695" w:rsidP="004E5695">
      <w:r w:rsidRPr="004E5695">
        <w:t>Theo đó, căn cứ theo Tiểu mục 2 Mục 5 </w:t>
      </w:r>
      <w:hyperlink r:id="rId10" w:tgtFrame="_blank" w:history="1">
        <w:r w:rsidRPr="004E5695">
          <w:rPr>
            <w:rStyle w:val="Hyperlink"/>
          </w:rPr>
          <w:t>Hướng dẫn 88/HD-HĐTVĐX năm 2024</w:t>
        </w:r>
      </w:hyperlink>
      <w:r w:rsidRPr="004E5695">
        <w:t> có quy định về thời gian thực hiện tổ chức tha người được đặc xá như sau:</w:t>
      </w:r>
    </w:p>
    <w:p w14:paraId="3A1D0756" w14:textId="77777777" w:rsidR="004E5695" w:rsidRPr="004E5695" w:rsidRDefault="004E5695" w:rsidP="004E5695">
      <w:r w:rsidRPr="004E5695">
        <w:t>- Từ ngày 18 tháng 8 năm 2024 đến ngày 31 tháng 8 năm 2024, các Tổ thẩm định liên ngành đến trực tiếp các đơn vị, địa phương để kiểm tra, thẩm định hồ sơ, danh sách đề nghị xét đặc xá.</w:t>
      </w:r>
    </w:p>
    <w:p w14:paraId="06AF5439" w14:textId="77777777" w:rsidR="004E5695" w:rsidRPr="004E5695" w:rsidRDefault="004E5695" w:rsidP="004E5695">
      <w:r w:rsidRPr="004E5695">
        <w:t>- Từ ngày 22 tháng 8 năm 2024 đến ngày 07 tháng 9 năm 2024, Thường trực Hội đồng tư vấn đặc xá tổng hợp hồ sơ, danh sách chuyển đến các thành viên Hội đồng tư vấn đặc xá nghiên cứu, thẩm định.</w:t>
      </w:r>
    </w:p>
    <w:p w14:paraId="0F3ECA5A" w14:textId="77777777" w:rsidR="004E5695" w:rsidRPr="004E5695" w:rsidRDefault="004E5695" w:rsidP="004E5695">
      <w:r w:rsidRPr="004E5695">
        <w:t>- Từ ngày 09 tháng 9 năm 2024 đến ngày 19 tháng 9 năm 2024, Thường trực Hội đồng tư vấn đặc xá, Tòa án nhân dân tối cao tổng hợp ý kiến của các thành viên Hội đồng tư vấn đặc xá và chuẩn bị hồ sơ, danh sách người đủ điều kiện đề nghị đặc xá, danh sách người không đủ điều kiện đề nghị đặc xá để trình Hội đồng tư vấn họp xét duyệt.</w:t>
      </w:r>
    </w:p>
    <w:p w14:paraId="76E5A8A6" w14:textId="77777777" w:rsidR="004E5695" w:rsidRPr="004E5695" w:rsidRDefault="004E5695" w:rsidP="004E5695">
      <w:r w:rsidRPr="004E5695">
        <w:t>- Từ ngày 23 tháng 9 năm 2024 đến ngày 25 tháng 9 năm 2024, Hội đồng tư vấn đặc xá họp xét duyệt danh sách đặc xá.</w:t>
      </w:r>
    </w:p>
    <w:p w14:paraId="6383CCDB" w14:textId="77777777" w:rsidR="004E5695" w:rsidRPr="004E5695" w:rsidRDefault="004E5695" w:rsidP="004E5695">
      <w:r w:rsidRPr="004E5695">
        <w:t>- Từ ngày 26 tháng 9 năm 2024 đến ngày 28 tháng 9 năm 2024, Thường trực Hội đồng tư vấn đặc xá tổng hợp, hoàn chỉnh danh sách đặc xá trình Chủ tịch nước quyết định.</w:t>
      </w:r>
    </w:p>
    <w:p w14:paraId="5256E4C5" w14:textId="77777777" w:rsidR="004E5695" w:rsidRPr="004E5695" w:rsidRDefault="004E5695" w:rsidP="004E5695">
      <w:r w:rsidRPr="004E5695">
        <w:t>- Tổ chức họp báo công bố Quyết định của Chủ tịch nước đặc xá tha tù trước thời hạn và tổ chức tha người được đặc xá theo Quyết định của Chủ tịch nước vào ngày 30 tháng 9 năm 2024.</w:t>
      </w:r>
    </w:p>
    <w:p w14:paraId="6A933307" w14:textId="77777777" w:rsidR="004E5695" w:rsidRPr="004E5695" w:rsidRDefault="004E5695" w:rsidP="004E5695">
      <w:r w:rsidRPr="004E5695">
        <w:rPr>
          <w:b/>
          <w:bCs/>
          <w:i/>
          <w:iCs/>
        </w:rPr>
        <w:t>- Tổ chức tha người được đặc xá theo Quyết định của Chủ tịch nước vào ngày 01 tháng 10 năm 2024.</w:t>
      </w:r>
    </w:p>
    <w:p w14:paraId="2C198F1A" w14:textId="540024E0" w:rsidR="004E5695" w:rsidRPr="004E5695" w:rsidRDefault="004E5695" w:rsidP="004E5695"/>
    <w:p w14:paraId="6B93A013" w14:textId="77777777" w:rsidR="004E5695" w:rsidRPr="004E5695" w:rsidRDefault="004E5695" w:rsidP="004E5695">
      <w:r w:rsidRPr="004E5695">
        <w:rPr>
          <w:i/>
          <w:iCs/>
        </w:rPr>
        <w:t>Tổ chức tha người được đặc xá vào ngày 01 tháng 10 năm 2024? (Hình từ Internet)</w:t>
      </w:r>
    </w:p>
    <w:p w14:paraId="1970EB9F" w14:textId="77777777" w:rsidR="004E5695" w:rsidRPr="004E5695" w:rsidRDefault="004E5695" w:rsidP="004E5695">
      <w:r w:rsidRPr="004E5695">
        <w:rPr>
          <w:b/>
          <w:bCs/>
        </w:rPr>
        <w:lastRenderedPageBreak/>
        <w:t>Đối tượng nào được áp dụng việc đặc xá?</w:t>
      </w:r>
    </w:p>
    <w:p w14:paraId="1C0BE9D6" w14:textId="77777777" w:rsidR="004E5695" w:rsidRPr="004E5695" w:rsidRDefault="004E5695" w:rsidP="004E5695">
      <w:r w:rsidRPr="004E5695">
        <w:t>Căn cứ theo Điều 2 </w:t>
      </w:r>
      <w:hyperlink r:id="rId11" w:tgtFrame="_blank" w:history="1">
        <w:r w:rsidRPr="004E5695">
          <w:rPr>
            <w:rStyle w:val="Hyperlink"/>
          </w:rPr>
          <w:t>Nghị định 52/2019/NĐ-CP</w:t>
        </w:r>
      </w:hyperlink>
      <w:r w:rsidRPr="004E5695">
        <w:t> quy định về đối tượng áp dụng cụ thể như sau:</w:t>
      </w:r>
    </w:p>
    <w:p w14:paraId="10167DA1" w14:textId="77777777" w:rsidR="004E5695" w:rsidRPr="004E5695" w:rsidRDefault="004E5695" w:rsidP="004E5695">
      <w:pPr>
        <w:rPr>
          <w:i/>
          <w:iCs/>
        </w:rPr>
      </w:pPr>
      <w:r w:rsidRPr="004E5695">
        <w:rPr>
          <w:b/>
          <w:bCs/>
          <w:i/>
          <w:iCs/>
        </w:rPr>
        <w:t>Điều 2. Đối tượng áp dụng</w:t>
      </w:r>
    </w:p>
    <w:p w14:paraId="49DE3685" w14:textId="77777777" w:rsidR="004E5695" w:rsidRPr="004E5695" w:rsidRDefault="004E5695" w:rsidP="004E5695">
      <w:pPr>
        <w:rPr>
          <w:i/>
          <w:iCs/>
        </w:rPr>
      </w:pPr>
      <w:r w:rsidRPr="004E5695">
        <w:rPr>
          <w:i/>
          <w:iCs/>
        </w:rPr>
        <w:t>1. Người đang chấp hành án phạt tù có thời hạn, người bị kết án phạt tù chung thân nhưng đã được giảm xuống tù có thời hạn, người đang được tạm đình chỉ chấp hành án phạt tù (sau đây gọi chung là người bị kết án phạt tù).</w:t>
      </w:r>
    </w:p>
    <w:p w14:paraId="6CDE6C86" w14:textId="77777777" w:rsidR="004E5695" w:rsidRPr="004E5695" w:rsidRDefault="004E5695" w:rsidP="004E5695">
      <w:pPr>
        <w:rPr>
          <w:i/>
          <w:iCs/>
        </w:rPr>
      </w:pPr>
      <w:r w:rsidRPr="004E5695">
        <w:rPr>
          <w:i/>
          <w:iCs/>
        </w:rPr>
        <w:t>2. Cơ quan, tổ chức, công dân nước Cộng hòa xã hội chủ nghĩa Việt Nam; người nước ngoài cư trú ở Việt Nam, tổ chức nước ngoài, tổ chức quốc tế hoạt động trên lãnh thổ nước Cộng hòa xã hội chủ nghĩa Việt Nam có liên quan đến hoạt động đặc xá.</w:t>
      </w:r>
    </w:p>
    <w:p w14:paraId="2BF63336" w14:textId="77777777" w:rsidR="004E5695" w:rsidRPr="004E5695" w:rsidRDefault="004E5695" w:rsidP="004E5695">
      <w:r w:rsidRPr="004E5695">
        <w:t>Như vậy, theo quy định trên thì đối tượng được áp dụng việc đặc xá là người đang chấp hành án phạt tù có thời hạn, người bị kết án phạt tù chung thân nhưng đã được giảm xuống tù có thời hạn, người đang được tạm đình chỉ chấp hành án phạt tù (sau đây gọi chung là người bị kết án phạt tù).</w:t>
      </w:r>
    </w:p>
    <w:p w14:paraId="1F177310" w14:textId="77777777" w:rsidR="004E5695" w:rsidRPr="004E5695" w:rsidRDefault="004E5695" w:rsidP="004E5695">
      <w:r w:rsidRPr="004E5695">
        <w:rPr>
          <w:b/>
          <w:bCs/>
        </w:rPr>
        <w:t>Hồ sơ đề nghị đặc xá năm 2024 bao gồm những loại giấy tờ gì?</w:t>
      </w:r>
    </w:p>
    <w:p w14:paraId="61A5FB7C" w14:textId="77777777" w:rsidR="004E5695" w:rsidRPr="004E5695" w:rsidRDefault="004E5695" w:rsidP="004E5695">
      <w:r w:rsidRPr="004E5695">
        <w:t>Căn cứ tại Tiểu mục 1 Mục 4 </w:t>
      </w:r>
      <w:hyperlink r:id="rId12" w:tgtFrame="_blank" w:history="1">
        <w:r w:rsidRPr="004E5695">
          <w:rPr>
            <w:rStyle w:val="Hyperlink"/>
          </w:rPr>
          <w:t>Hướng dẫn 88/HD-HĐTVĐX năm 2024 </w:t>
        </w:r>
      </w:hyperlink>
      <w:r w:rsidRPr="004E5695">
        <w:t>quy định hồ sơ đề nghị đặc xá như sau:</w:t>
      </w:r>
    </w:p>
    <w:p w14:paraId="37ADB99C" w14:textId="77777777" w:rsidR="004E5695" w:rsidRPr="004E5695" w:rsidRDefault="004E5695" w:rsidP="004E5695">
      <w:r w:rsidRPr="004E5695">
        <w:rPr>
          <w:b/>
          <w:bCs/>
        </w:rPr>
        <w:t>[1]</w:t>
      </w:r>
      <w:r w:rsidRPr="004E5695">
        <w:t> Hồ sơ đề nghị đặc xá bao gồm các văn bản, tài liệu quy định tại Điều 5 </w:t>
      </w:r>
      <w:hyperlink r:id="rId13" w:tgtFrame="_blank" w:history="1">
        <w:r w:rsidRPr="004E5695">
          <w:rPr>
            <w:rStyle w:val="Hyperlink"/>
          </w:rPr>
          <w:t>Nghị định 52/2019/NĐ-CP</w:t>
        </w:r>
      </w:hyperlink>
      <w:r w:rsidRPr="004E5695">
        <w:t>. Ngoài ra, một số trường hợp cụ thể phải có các văn bản, tài liệu sau:</w:t>
      </w:r>
    </w:p>
    <w:p w14:paraId="1EB66F4A" w14:textId="77777777" w:rsidR="004E5695" w:rsidRPr="004E5695" w:rsidRDefault="004E5695" w:rsidP="004E5695">
      <w:r w:rsidRPr="004E5695">
        <w:t>- Phạm nhân hoặc người đang được tạm đình chỉ chấp hành án phạt tù có tiền án nhưng đã được xóa án tích phải có một trong các tài liệu chứng minh đã được xóa án tích sau đây:</w:t>
      </w:r>
    </w:p>
    <w:p w14:paraId="57D826A6" w14:textId="77777777" w:rsidR="004E5695" w:rsidRPr="004E5695" w:rsidRDefault="004E5695" w:rsidP="004E5695">
      <w:r w:rsidRPr="004E5695">
        <w:t>+ Giấy chứng nhận hoặc quyết định xóa án tích của Tòa án có thẩm quyền cấp cho người có tiền án được xóa án tích;</w:t>
      </w:r>
    </w:p>
    <w:p w14:paraId="1A4F940F" w14:textId="77777777" w:rsidR="004E5695" w:rsidRPr="004E5695" w:rsidRDefault="004E5695" w:rsidP="004E5695">
      <w:r w:rsidRPr="004E5695">
        <w:t>+ Bản án ghi là có tiền án nhưng đã được xóa án tích;</w:t>
      </w:r>
    </w:p>
    <w:p w14:paraId="79EFD08C" w14:textId="77777777" w:rsidR="004E5695" w:rsidRPr="004E5695" w:rsidRDefault="004E5695" w:rsidP="004E5695">
      <w:r w:rsidRPr="004E5695">
        <w:t>+ Phiếu lý lịch tư pháp xác nhận không có án tích do Trung tâm Lý lịch tư pháp quốc gia hoặc Sở Tư pháp cấp;</w:t>
      </w:r>
    </w:p>
    <w:p w14:paraId="0020878B" w14:textId="77777777" w:rsidR="004E5695" w:rsidRPr="004E5695" w:rsidRDefault="004E5695" w:rsidP="004E5695">
      <w:r w:rsidRPr="004E5695">
        <w:t>- Phạm nhân hoặc người đang được tạm đình chỉ chấp hành án phạt tù thuộc trường hợp quy định tại điểm e khoản 3 Điều 3 Quyết định của Chủ tịch nước về đặc xá năm 2024 phải có:</w:t>
      </w:r>
    </w:p>
    <w:p w14:paraId="7AFC9C8F" w14:textId="77777777" w:rsidR="004E5695" w:rsidRPr="004E5695" w:rsidRDefault="004E5695" w:rsidP="004E5695">
      <w:r w:rsidRPr="004E5695">
        <w:t xml:space="preserve">+ Đơn của gia đình phạm nhân hoặc đơn của người đang được tạm đình chỉ trình bày hoàn cảnh gia đình đặc biệt khó khăn và bản thân phạm nhân hoặc người đang được tạm đình chỉ là lao động duy nhất trong gia đình (trình bày rõ hoàn </w:t>
      </w:r>
      <w:r w:rsidRPr="004E5695">
        <w:lastRenderedPageBreak/>
        <w:t>cảnh cụ thể từng thành viên của gia đình gồm: Bố, mẹ, vợ (hoặc chồng), con, anh, chị, em ruột sinh năm nào? đang ở đâu? làm gì?).</w:t>
      </w:r>
    </w:p>
    <w:p w14:paraId="480F1B94" w14:textId="77777777" w:rsidR="004E5695" w:rsidRPr="004E5695" w:rsidRDefault="004E5695" w:rsidP="004E5695">
      <w:r w:rsidRPr="004E5695">
        <w:t>+ Đơn phải được Ủy ban nhân dân cấp xã nơi gia đình phạm nhân, gia đình người đang được tạm đình chỉ cư trú xác nhận là đúng (không chấp nhận những đơn không có nội dung xác nhận này của Ủy ban nhân dân cấp xã);</w:t>
      </w:r>
    </w:p>
    <w:p w14:paraId="06A1C7C6" w14:textId="77777777" w:rsidR="004E5695" w:rsidRPr="004E5695" w:rsidRDefault="004E5695" w:rsidP="004E5695">
      <w:r w:rsidRPr="004E5695">
        <w:t>- Người bị kết án phạt tù được tặng thưởng danh hiệu Nhà giáo nhân dân, Thầy thuốc nhân dân, Nghệ sỹ nhân dân, Nghệ nhân nhân dân phải có bản sao quyết định tặng thưởng.</w:t>
      </w:r>
    </w:p>
    <w:p w14:paraId="0779A397" w14:textId="77777777" w:rsidR="004E5695" w:rsidRPr="004E5695" w:rsidRDefault="004E5695" w:rsidP="004E5695">
      <w:r w:rsidRPr="004E5695">
        <w:t>- Giám thị trại giam, Giám thị trại tạm giam, Thủ trưởng cơ quan thi hành án hình sự Công an cấp huyện, Chánh án Tòa án nhân dân cấp tỉnh, Chánh án Tòa án quân sự cấp quân khu được sao từ bản chính hoặc bản sao có giá trị sử dụng thay bản chính của những văn bản như:</w:t>
      </w:r>
    </w:p>
    <w:p w14:paraId="60859538" w14:textId="77777777" w:rsidR="004E5695" w:rsidRPr="004E5695" w:rsidRDefault="004E5695" w:rsidP="004E5695">
      <w:r w:rsidRPr="004E5695">
        <w:t>+ Bản án, bệnh án, kết luận giám định y khoa,</w:t>
      </w:r>
    </w:p>
    <w:p w14:paraId="7FBA7C7A" w14:textId="77777777" w:rsidR="004E5695" w:rsidRPr="004E5695" w:rsidRDefault="004E5695" w:rsidP="004E5695">
      <w:r w:rsidRPr="004E5695">
        <w:t>+ Các loại tài liệu xác nhận việc thực hiện hình phạt bổ sung là phạt tiền, nộp án phí, thi hành nghĩa vụ trả lại tài sản, bồi thường thiệt hại, nghĩa vụ dân sự khác;</w:t>
      </w:r>
    </w:p>
    <w:p w14:paraId="30464D2E" w14:textId="77777777" w:rsidR="004E5695" w:rsidRPr="004E5695" w:rsidRDefault="004E5695" w:rsidP="004E5695">
      <w:r w:rsidRPr="004E5695">
        <w:t>+ Các tài liệu khác liên quan đến các điều kiện được đề nghị đặc xá của người bị kết án phạt tù.</w:t>
      </w:r>
    </w:p>
    <w:p w14:paraId="140BB71A" w14:textId="77777777" w:rsidR="004E5695" w:rsidRPr="004E5695" w:rsidRDefault="004E5695" w:rsidP="004E5695">
      <w:r w:rsidRPr="004E5695">
        <w:t>- Khi trình danh sách, hồ sơ đề nghị đặc xá để Tổ thẩm định liên ngành nghiên cứu, thẩm định, phải có bản chính hoặc bản sao có giá trị sử dụng thay bản chính của những tài liệu này để kiểm tra, đối chiếu.</w:t>
      </w:r>
    </w:p>
    <w:p w14:paraId="207C2EAC" w14:textId="77777777" w:rsidR="004E5695" w:rsidRPr="004E5695" w:rsidRDefault="004E5695" w:rsidP="004E5695">
      <w:r w:rsidRPr="004E5695">
        <w:rPr>
          <w:b/>
          <w:bCs/>
        </w:rPr>
        <w:t>[2]</w:t>
      </w:r>
      <w:r w:rsidRPr="004E5695">
        <w:t> Danh sách, hồ sơ, thống kê phạm nhân được đề nghị đặc xá của trại giam, trại tạm giam, cơ quan thi hành án hình sự Công an cấp huyện và danh sách, hồ sơ, thống kê người đang được tạm đình chỉ chấp hành án phạt tù được đề nghị đặc xá của Tòa án nhân dân cấp tỉnh, Tòa án quân sự cấp quân khu được làm thành bốn bộ đóng dấu đỏ để Tổ thẩm định liên ngành thẩm định.</w:t>
      </w:r>
    </w:p>
    <w:p w14:paraId="5717483C" w14:textId="77777777" w:rsidR="004E5695" w:rsidRPr="004E5695" w:rsidRDefault="004E5695" w:rsidP="004E5695">
      <w:r w:rsidRPr="004E5695">
        <w:t>Sau khi thẩm định xong, một bộ có dấu đỏ cùng đầy đủ các tài liệu chứng minh gốc hoặc bản sao có công chứng của cơ quan có thẩm quyền được lưu tại trại giam, trại tạm giam, cơ quan thi hành án hình sự Công an cấp huyện, Tòa án nhân dân cấp tỉnh, Tòa án quân sự cấp quân khu.</w:t>
      </w:r>
    </w:p>
    <w:p w14:paraId="750E0D54" w14:textId="77777777" w:rsidR="003C4540" w:rsidRDefault="003C4540"/>
    <w:sectPr w:rsidR="003C4540" w:rsidSect="00FF247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42D55"/>
    <w:multiLevelType w:val="multilevel"/>
    <w:tmpl w:val="AA6C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6089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95"/>
    <w:rsid w:val="00344841"/>
    <w:rsid w:val="003C4540"/>
    <w:rsid w:val="004E5695"/>
    <w:rsid w:val="009E5D3E"/>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48E2"/>
  <w15:chartTrackingRefBased/>
  <w15:docId w15:val="{4261C54E-C018-484A-8263-2547BF11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69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4E56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E56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E56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56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56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56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69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E56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56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56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56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56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56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5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69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E569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E5695"/>
    <w:pPr>
      <w:spacing w:before="160"/>
      <w:jc w:val="center"/>
    </w:pPr>
    <w:rPr>
      <w:i/>
      <w:iCs/>
      <w:color w:val="404040" w:themeColor="text1" w:themeTint="BF"/>
    </w:rPr>
  </w:style>
  <w:style w:type="character" w:customStyle="1" w:styleId="QuoteChar">
    <w:name w:val="Quote Char"/>
    <w:basedOn w:val="DefaultParagraphFont"/>
    <w:link w:val="Quote"/>
    <w:uiPriority w:val="29"/>
    <w:rsid w:val="004E5695"/>
    <w:rPr>
      <w:i/>
      <w:iCs/>
      <w:color w:val="404040" w:themeColor="text1" w:themeTint="BF"/>
    </w:rPr>
  </w:style>
  <w:style w:type="paragraph" w:styleId="ListParagraph">
    <w:name w:val="List Paragraph"/>
    <w:basedOn w:val="Normal"/>
    <w:uiPriority w:val="34"/>
    <w:qFormat/>
    <w:rsid w:val="004E5695"/>
    <w:pPr>
      <w:ind w:left="720"/>
      <w:contextualSpacing/>
    </w:pPr>
  </w:style>
  <w:style w:type="character" w:styleId="IntenseEmphasis">
    <w:name w:val="Intense Emphasis"/>
    <w:basedOn w:val="DefaultParagraphFont"/>
    <w:uiPriority w:val="21"/>
    <w:qFormat/>
    <w:rsid w:val="004E5695"/>
    <w:rPr>
      <w:i/>
      <w:iCs/>
      <w:color w:val="0F4761" w:themeColor="accent1" w:themeShade="BF"/>
    </w:rPr>
  </w:style>
  <w:style w:type="paragraph" w:styleId="IntenseQuote">
    <w:name w:val="Intense Quote"/>
    <w:basedOn w:val="Normal"/>
    <w:next w:val="Normal"/>
    <w:link w:val="IntenseQuoteChar"/>
    <w:uiPriority w:val="30"/>
    <w:qFormat/>
    <w:rsid w:val="004E5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695"/>
    <w:rPr>
      <w:i/>
      <w:iCs/>
      <w:color w:val="0F4761" w:themeColor="accent1" w:themeShade="BF"/>
    </w:rPr>
  </w:style>
  <w:style w:type="character" w:styleId="IntenseReference">
    <w:name w:val="Intense Reference"/>
    <w:basedOn w:val="DefaultParagraphFont"/>
    <w:uiPriority w:val="32"/>
    <w:qFormat/>
    <w:rsid w:val="004E5695"/>
    <w:rPr>
      <w:b/>
      <w:bCs/>
      <w:smallCaps/>
      <w:color w:val="0F4761" w:themeColor="accent1" w:themeShade="BF"/>
      <w:spacing w:val="5"/>
    </w:rPr>
  </w:style>
  <w:style w:type="character" w:styleId="Hyperlink">
    <w:name w:val="Hyperlink"/>
    <w:basedOn w:val="DefaultParagraphFont"/>
    <w:uiPriority w:val="99"/>
    <w:unhideWhenUsed/>
    <w:rsid w:val="004E5695"/>
    <w:rPr>
      <w:color w:val="467886" w:themeColor="hyperlink"/>
      <w:u w:val="single"/>
    </w:rPr>
  </w:style>
  <w:style w:type="character" w:styleId="UnresolvedMention">
    <w:name w:val="Unresolved Mention"/>
    <w:basedOn w:val="DefaultParagraphFont"/>
    <w:uiPriority w:val="99"/>
    <w:semiHidden/>
    <w:unhideWhenUsed/>
    <w:rsid w:val="004E5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21440">
      <w:bodyDiv w:val="1"/>
      <w:marLeft w:val="0"/>
      <w:marRight w:val="0"/>
      <w:marTop w:val="0"/>
      <w:marBottom w:val="0"/>
      <w:divBdr>
        <w:top w:val="none" w:sz="0" w:space="0" w:color="auto"/>
        <w:left w:val="none" w:sz="0" w:space="0" w:color="auto"/>
        <w:bottom w:val="none" w:sz="0" w:space="0" w:color="auto"/>
        <w:right w:val="none" w:sz="0" w:space="0" w:color="auto"/>
      </w:divBdr>
      <w:divsChild>
        <w:div w:id="683019500">
          <w:marLeft w:val="0"/>
          <w:marRight w:val="0"/>
          <w:marTop w:val="0"/>
          <w:marBottom w:val="225"/>
          <w:divBdr>
            <w:top w:val="none" w:sz="0" w:space="0" w:color="auto"/>
            <w:left w:val="none" w:sz="0" w:space="0" w:color="auto"/>
            <w:bottom w:val="none" w:sz="0" w:space="0" w:color="auto"/>
            <w:right w:val="none" w:sz="0" w:space="0" w:color="auto"/>
          </w:divBdr>
          <w:divsChild>
            <w:div w:id="718096357">
              <w:marLeft w:val="0"/>
              <w:marRight w:val="0"/>
              <w:marTop w:val="0"/>
              <w:marBottom w:val="0"/>
              <w:divBdr>
                <w:top w:val="none" w:sz="0" w:space="0" w:color="auto"/>
                <w:left w:val="none" w:sz="0" w:space="0" w:color="auto"/>
                <w:bottom w:val="none" w:sz="0" w:space="0" w:color="auto"/>
                <w:right w:val="none" w:sz="0" w:space="0" w:color="auto"/>
              </w:divBdr>
              <w:divsChild>
                <w:div w:id="1983994407">
                  <w:marLeft w:val="0"/>
                  <w:marRight w:val="0"/>
                  <w:marTop w:val="0"/>
                  <w:marBottom w:val="0"/>
                  <w:divBdr>
                    <w:top w:val="none" w:sz="0" w:space="0" w:color="auto"/>
                    <w:left w:val="none" w:sz="0" w:space="0" w:color="auto"/>
                    <w:bottom w:val="none" w:sz="0" w:space="0" w:color="auto"/>
                    <w:right w:val="none" w:sz="0" w:space="0" w:color="auto"/>
                  </w:divBdr>
                  <w:divsChild>
                    <w:div w:id="1611082945">
                      <w:marLeft w:val="0"/>
                      <w:marRight w:val="0"/>
                      <w:marTop w:val="0"/>
                      <w:marBottom w:val="0"/>
                      <w:divBdr>
                        <w:top w:val="none" w:sz="0" w:space="0" w:color="auto"/>
                        <w:left w:val="none" w:sz="0" w:space="0" w:color="auto"/>
                        <w:bottom w:val="none" w:sz="0" w:space="0" w:color="auto"/>
                        <w:right w:val="none" w:sz="0" w:space="0" w:color="auto"/>
                      </w:divBdr>
                    </w:div>
                  </w:divsChild>
                </w:div>
                <w:div w:id="1183588172">
                  <w:marLeft w:val="0"/>
                  <w:marRight w:val="0"/>
                  <w:marTop w:val="0"/>
                  <w:marBottom w:val="0"/>
                  <w:divBdr>
                    <w:top w:val="none" w:sz="0" w:space="0" w:color="auto"/>
                    <w:left w:val="none" w:sz="0" w:space="0" w:color="auto"/>
                    <w:bottom w:val="none" w:sz="0" w:space="0" w:color="auto"/>
                    <w:right w:val="none" w:sz="0" w:space="0" w:color="auto"/>
                  </w:divBdr>
                  <w:divsChild>
                    <w:div w:id="10041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1013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0722897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27424220">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606763736">
      <w:bodyDiv w:val="1"/>
      <w:marLeft w:val="0"/>
      <w:marRight w:val="0"/>
      <w:marTop w:val="0"/>
      <w:marBottom w:val="0"/>
      <w:divBdr>
        <w:top w:val="none" w:sz="0" w:space="0" w:color="auto"/>
        <w:left w:val="none" w:sz="0" w:space="0" w:color="auto"/>
        <w:bottom w:val="none" w:sz="0" w:space="0" w:color="auto"/>
        <w:right w:val="none" w:sz="0" w:space="0" w:color="auto"/>
      </w:divBdr>
      <w:divsChild>
        <w:div w:id="1440953178">
          <w:marLeft w:val="0"/>
          <w:marRight w:val="0"/>
          <w:marTop w:val="0"/>
          <w:marBottom w:val="225"/>
          <w:divBdr>
            <w:top w:val="none" w:sz="0" w:space="0" w:color="auto"/>
            <w:left w:val="none" w:sz="0" w:space="0" w:color="auto"/>
            <w:bottom w:val="none" w:sz="0" w:space="0" w:color="auto"/>
            <w:right w:val="none" w:sz="0" w:space="0" w:color="auto"/>
          </w:divBdr>
          <w:divsChild>
            <w:div w:id="1818720200">
              <w:marLeft w:val="0"/>
              <w:marRight w:val="0"/>
              <w:marTop w:val="0"/>
              <w:marBottom w:val="0"/>
              <w:divBdr>
                <w:top w:val="none" w:sz="0" w:space="0" w:color="auto"/>
                <w:left w:val="none" w:sz="0" w:space="0" w:color="auto"/>
                <w:bottom w:val="none" w:sz="0" w:space="0" w:color="auto"/>
                <w:right w:val="none" w:sz="0" w:space="0" w:color="auto"/>
              </w:divBdr>
              <w:divsChild>
                <w:div w:id="1665621902">
                  <w:marLeft w:val="0"/>
                  <w:marRight w:val="0"/>
                  <w:marTop w:val="0"/>
                  <w:marBottom w:val="0"/>
                  <w:divBdr>
                    <w:top w:val="none" w:sz="0" w:space="0" w:color="auto"/>
                    <w:left w:val="none" w:sz="0" w:space="0" w:color="auto"/>
                    <w:bottom w:val="none" w:sz="0" w:space="0" w:color="auto"/>
                    <w:right w:val="none" w:sz="0" w:space="0" w:color="auto"/>
                  </w:divBdr>
                  <w:divsChild>
                    <w:div w:id="2049912568">
                      <w:marLeft w:val="0"/>
                      <w:marRight w:val="0"/>
                      <w:marTop w:val="0"/>
                      <w:marBottom w:val="0"/>
                      <w:divBdr>
                        <w:top w:val="none" w:sz="0" w:space="0" w:color="auto"/>
                        <w:left w:val="none" w:sz="0" w:space="0" w:color="auto"/>
                        <w:bottom w:val="none" w:sz="0" w:space="0" w:color="auto"/>
                        <w:right w:val="none" w:sz="0" w:space="0" w:color="auto"/>
                      </w:divBdr>
                    </w:div>
                  </w:divsChild>
                </w:div>
                <w:div w:id="1250847938">
                  <w:marLeft w:val="0"/>
                  <w:marRight w:val="0"/>
                  <w:marTop w:val="0"/>
                  <w:marBottom w:val="0"/>
                  <w:divBdr>
                    <w:top w:val="none" w:sz="0" w:space="0" w:color="auto"/>
                    <w:left w:val="none" w:sz="0" w:space="0" w:color="auto"/>
                    <w:bottom w:val="none" w:sz="0" w:space="0" w:color="auto"/>
                    <w:right w:val="none" w:sz="0" w:space="0" w:color="auto"/>
                  </w:divBdr>
                  <w:divsChild>
                    <w:div w:id="7519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585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422450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5585523">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documents/law.aspx?id=g=pFNU9ETXTm&amp;mode=" TargetMode="External"/><Relationship Id="rId13" Type="http://schemas.openxmlformats.org/officeDocument/2006/relationships/hyperlink" Target="https://thuvienphapluat.vn/documents/law.aspx?id=o=RFMk5Ea3Tk&amp;mode=E=dsbGRWODWk" TargetMode="External"/><Relationship Id="rId3" Type="http://schemas.openxmlformats.org/officeDocument/2006/relationships/settings" Target="settings.xml"/><Relationship Id="rId7" Type="http://schemas.openxmlformats.org/officeDocument/2006/relationships/hyperlink" Target="https://thuvienphapluat.vn/hoi-dap-phap-luat/83A3035-hd-to-chuc-tha-nguoi-duoc-dac-xa-vao-ngay-01-thang-10-nam-2024.html" TargetMode="External"/><Relationship Id="rId12" Type="http://schemas.openxmlformats.org/officeDocument/2006/relationships/hyperlink" Target="https://thuvienphapluat.vn/documents/law.aspx?id=g=pFNU9ETXTm&amp;mode=0=hWalh6UTY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hoi-dap-phap-luat/83A3035-hd-to-chuc-tha-nguoi-duoc-dac-xa-vao-ngay-01-thang-10-nam-2024.html" TargetMode="External"/><Relationship Id="rId11" Type="http://schemas.openxmlformats.org/officeDocument/2006/relationships/hyperlink" Target="https://thuvienphapluat.vn/documents/law.aspx?id=o=RFMk5Ea3Tk&amp;mode=k=dsbGRWOHWk" TargetMode="External"/><Relationship Id="rId5" Type="http://schemas.openxmlformats.org/officeDocument/2006/relationships/hyperlink" Target="https://thuvienphapluat.vn/hoi-dap-phap-luat/83A3035-hd-to-chuc-tha-nguoi-duoc-dac-xa-vao-ngay-01-thang-10-nam-2024.html" TargetMode="External"/><Relationship Id="rId15" Type="http://schemas.openxmlformats.org/officeDocument/2006/relationships/theme" Target="theme/theme1.xml"/><Relationship Id="rId10" Type="http://schemas.openxmlformats.org/officeDocument/2006/relationships/hyperlink" Target="https://thuvienphapluat.vn/documents/law.aspx?id=g=pFNU9ETXTm&amp;mode=0=hWalh6VTYl" TargetMode="External"/><Relationship Id="rId4" Type="http://schemas.openxmlformats.org/officeDocument/2006/relationships/webSettings" Target="webSettings.xml"/><Relationship Id="rId9" Type="http://schemas.openxmlformats.org/officeDocument/2006/relationships/hyperlink" Target="https://thuvienphapluat.vn/documents/law.aspx?id=M=RjeU9URTTl&amp;mo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1</cp:revision>
  <dcterms:created xsi:type="dcterms:W3CDTF">2024-08-08T03:42:00Z</dcterms:created>
  <dcterms:modified xsi:type="dcterms:W3CDTF">2024-08-08T03:48:00Z</dcterms:modified>
</cp:coreProperties>
</file>